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1E01E2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</w:t>
      </w:r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>2. Regionalna Baza Logistyczna zwraca się do Państwa z wnioskiem o złożenie oferty cenowej na</w:t>
      </w:r>
      <w:r w:rsidR="007F002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77351">
        <w:rPr>
          <w:rFonts w:ascii="Times New Roman" w:eastAsia="Times New Roman" w:hAnsi="Times New Roman" w:cs="Times New Roman"/>
          <w:b/>
          <w:sz w:val="24"/>
        </w:rPr>
        <w:t>dostawę detektorów wielogazowych</w:t>
      </w:r>
      <w:r w:rsidR="00011919">
        <w:rPr>
          <w:rFonts w:ascii="Times New Roman" w:eastAsia="Times New Roman" w:hAnsi="Times New Roman" w:cs="Times New Roman"/>
          <w:b/>
          <w:sz w:val="24"/>
        </w:rPr>
        <w:t>,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zgodnie z załącznikiem nr 1, w terminie </w:t>
      </w:r>
      <w:r w:rsidR="00E12F91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872771">
        <w:rPr>
          <w:rFonts w:ascii="Times New Roman" w:eastAsia="Times New Roman" w:hAnsi="Times New Roman" w:cs="Times New Roman"/>
          <w:b/>
          <w:sz w:val="24"/>
        </w:rPr>
        <w:t>16</w:t>
      </w:r>
      <w:r w:rsidR="007F0025">
        <w:rPr>
          <w:rFonts w:ascii="Times New Roman" w:eastAsia="Times New Roman" w:hAnsi="Times New Roman" w:cs="Times New Roman"/>
          <w:b/>
          <w:sz w:val="24"/>
        </w:rPr>
        <w:t>.0</w:t>
      </w:r>
      <w:r w:rsidR="00AA75D3">
        <w:rPr>
          <w:rFonts w:ascii="Times New Roman" w:eastAsia="Times New Roman" w:hAnsi="Times New Roman" w:cs="Times New Roman"/>
          <w:b/>
          <w:sz w:val="24"/>
        </w:rPr>
        <w:t>6</w:t>
      </w:r>
      <w:r w:rsidRPr="001E01E2">
        <w:rPr>
          <w:rFonts w:ascii="Times New Roman" w:eastAsia="Times New Roman" w:hAnsi="Times New Roman" w:cs="Times New Roman"/>
          <w:b/>
          <w:sz w:val="24"/>
        </w:rPr>
        <w:t>.202</w:t>
      </w:r>
      <w:r w:rsidR="00011919">
        <w:rPr>
          <w:rFonts w:ascii="Times New Roman" w:eastAsia="Times New Roman" w:hAnsi="Times New Roman" w:cs="Times New Roman"/>
          <w:b/>
          <w:sz w:val="24"/>
        </w:rPr>
        <w:t>5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1E01E2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hyperlink r:id="rId9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10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4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617A6B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1 na </w:t>
      </w:r>
      <w:r w:rsidR="001A349A">
        <w:rPr>
          <w:rFonts w:ascii="Times New Roman" w:eastAsia="Arial" w:hAnsi="Times New Roman" w:cs="Times New Roman"/>
          <w:sz w:val="24"/>
          <w:u w:val="single" w:color="000000"/>
        </w:rPr>
        <w:t>4</w:t>
      </w:r>
      <w:r w:rsidR="001E01E2" w:rsidRPr="001E01E2">
        <w:rPr>
          <w:rFonts w:ascii="Times New Roman" w:eastAsia="Arial" w:hAnsi="Times New Roman" w:cs="Times New Roman"/>
          <w:sz w:val="24"/>
          <w:u w:val="single" w:color="000000"/>
        </w:rPr>
        <w:t xml:space="preserve"> str.</w:t>
      </w:r>
      <w:r w:rsidR="001E01E2"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Default="003F306C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Pr="001E01E2" w:rsidRDefault="007F0025" w:rsidP="00C319D2">
      <w:pPr>
        <w:spacing w:after="0"/>
        <w:rPr>
          <w:rFonts w:ascii="Times New Roman" w:hAnsi="Times New Roman" w:cs="Times New Roman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</w:rPr>
        <w:t xml:space="preserve">        </w:t>
      </w:r>
      <w:r w:rsidRPr="001E01E2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70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1212"/>
        <w:gridCol w:w="3225"/>
        <w:gridCol w:w="2364"/>
        <w:gridCol w:w="2669"/>
      </w:tblGrid>
      <w:tr w:rsidR="007F0025" w:rsidRPr="001E01E2" w:rsidTr="000E53D7">
        <w:trPr>
          <w:trHeight w:val="1376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brutto </w:t>
            </w:r>
          </w:p>
        </w:tc>
      </w:tr>
      <w:tr w:rsidR="007F0025" w:rsidRPr="001E01E2" w:rsidTr="000E53D7">
        <w:trPr>
          <w:trHeight w:val="561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Default="00C734D3">
            <w:pPr>
              <w:spacing w:after="26"/>
              <w:ind w:left="-5" w:hanging="10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Detektor wielogazowy </w:t>
            </w:r>
            <w:r w:rsidR="000E53D7">
              <w:rPr>
                <w:rFonts w:ascii="Times New Roman" w:eastAsia="Arial" w:hAnsi="Times New Roman" w:cs="Times New Roman"/>
                <w:b/>
              </w:rPr>
              <w:t xml:space="preserve">(zgodnie </w:t>
            </w:r>
          </w:p>
          <w:p w:rsidR="007F0025" w:rsidRPr="001E01E2" w:rsidRDefault="000E53D7" w:rsidP="00C734D3">
            <w:pPr>
              <w:ind w:left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z OPZ)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011919" w:rsidRPr="001E01E2" w:rsidTr="006B1375">
        <w:trPr>
          <w:trHeight w:val="40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Pr="001E01E2" w:rsidRDefault="00011919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011919" w:rsidRPr="001E01E2" w:rsidTr="00C66297">
        <w:trPr>
          <w:trHeight w:val="3276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1993" w:rsidRPr="001E01E2" w:rsidRDefault="00111993" w:rsidP="00111993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" w:hAnsi="Times New Roman" w:cs="Times New Roman"/>
                <w:b/>
              </w:rPr>
            </w:pP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03" w:right="3"/>
              <w:jc w:val="both"/>
              <w:outlineLvl w:val="0"/>
              <w:rPr>
                <w:rFonts w:ascii="Arial" w:eastAsia="Arial" w:hAnsi="Arial" w:cs="Arial"/>
                <w:b/>
                <w:sz w:val="24"/>
              </w:rPr>
            </w:pPr>
            <w:r w:rsidRPr="001A349A">
              <w:rPr>
                <w:rFonts w:ascii="Arial" w:eastAsia="Arial" w:hAnsi="Arial" w:cs="Arial"/>
                <w:b/>
                <w:sz w:val="24"/>
              </w:rPr>
              <w:t xml:space="preserve">Przeznaczenie:  </w:t>
            </w:r>
          </w:p>
          <w:p w:rsidR="001A349A" w:rsidRPr="001A349A" w:rsidRDefault="001A349A" w:rsidP="001A349A">
            <w:pPr>
              <w:spacing w:after="27" w:line="249" w:lineRule="auto"/>
              <w:ind w:left="426"/>
              <w:jc w:val="both"/>
              <w:rPr>
                <w:rFonts w:ascii="Arial" w:eastAsia="Arial" w:hAnsi="Arial" w:cs="Arial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</w:rPr>
              <w:t>Detektor wielogazowy przeznaczony jest do wykrywania wybranych gazów niebezpiecznych i do sygnalizowania ich wykrycia.</w:t>
            </w:r>
          </w:p>
          <w:p w:rsidR="001A349A" w:rsidRPr="001A349A" w:rsidRDefault="001A349A" w:rsidP="001A349A">
            <w:pPr>
              <w:spacing w:after="27" w:line="249" w:lineRule="auto"/>
              <w:ind w:left="199"/>
              <w:jc w:val="both"/>
              <w:rPr>
                <w:rFonts w:ascii="Arial" w:eastAsia="Arial" w:hAnsi="Arial" w:cs="Arial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03" w:right="3"/>
              <w:jc w:val="both"/>
              <w:outlineLvl w:val="0"/>
              <w:rPr>
                <w:rFonts w:ascii="Arial" w:eastAsia="Arial" w:hAnsi="Arial" w:cs="Arial"/>
                <w:b/>
                <w:sz w:val="24"/>
              </w:rPr>
            </w:pPr>
            <w:r w:rsidRPr="001A349A">
              <w:rPr>
                <w:rFonts w:ascii="Arial" w:eastAsia="Arial" w:hAnsi="Arial" w:cs="Arial"/>
                <w:b/>
                <w:sz w:val="24"/>
              </w:rPr>
              <w:t xml:space="preserve">Wymagania ogólne </w:t>
            </w:r>
          </w:p>
          <w:p w:rsidR="001A349A" w:rsidRPr="001A349A" w:rsidRDefault="001A349A" w:rsidP="001A349A">
            <w:pPr>
              <w:numPr>
                <w:ilvl w:val="0"/>
                <w:numId w:val="9"/>
              </w:numPr>
              <w:spacing w:before="25" w:line="249" w:lineRule="auto"/>
              <w:ind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</w:rPr>
              <w:t xml:space="preserve">Detektor wielogazowy 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powinien umożliwiać wykrycie wskazanych gazów (grup gazów) niebezpiecznych.</w:t>
            </w:r>
          </w:p>
          <w:p w:rsidR="001A349A" w:rsidRPr="001A349A" w:rsidRDefault="001A349A" w:rsidP="001A349A">
            <w:pPr>
              <w:numPr>
                <w:ilvl w:val="0"/>
                <w:numId w:val="9"/>
              </w:numPr>
              <w:spacing w:before="25" w:line="249" w:lineRule="auto"/>
              <w:ind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wielogazowy powinien mieć budowę umożliwiającą jego swobodne przenoszenie i stosowanie przez osoby działające w warunkach zagrożenia wystąpieniem skażeń toksycznymi środkami przemysłowymi.</w:t>
            </w:r>
          </w:p>
          <w:p w:rsidR="001A349A" w:rsidRPr="001A349A" w:rsidRDefault="001A349A" w:rsidP="001A349A">
            <w:pPr>
              <w:numPr>
                <w:ilvl w:val="0"/>
                <w:numId w:val="9"/>
              </w:numPr>
              <w:spacing w:before="25" w:line="249" w:lineRule="auto"/>
              <w:ind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Detektor wielogazowy powinien być wykonany w technologii „EX”. </w:t>
            </w:r>
          </w:p>
          <w:p w:rsidR="001A349A" w:rsidRPr="001A349A" w:rsidRDefault="001A349A" w:rsidP="001A349A">
            <w:pPr>
              <w:numPr>
                <w:ilvl w:val="0"/>
                <w:numId w:val="9"/>
              </w:numPr>
              <w:spacing w:before="25" w:line="249" w:lineRule="auto"/>
              <w:ind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W przypadku kiedy niemożliwe będzie pozyskanie jednego detektora zdolnego do wykrycia wszystkich wymienionych dalej gazów dopuszcza się pozyskanie zestawu detektorów skonfigurowanych do wykrycia pełnego wymaganego spektrum substancji niebezpiecznych.</w:t>
            </w:r>
          </w:p>
          <w:p w:rsidR="001A349A" w:rsidRPr="001A349A" w:rsidRDefault="001A349A" w:rsidP="001A349A">
            <w:pPr>
              <w:spacing w:before="25" w:line="249" w:lineRule="auto"/>
              <w:ind w:left="761"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03" w:right="3"/>
              <w:jc w:val="both"/>
              <w:outlineLvl w:val="0"/>
              <w:rPr>
                <w:rFonts w:ascii="Arial" w:eastAsia="Arial" w:hAnsi="Arial" w:cs="Arial"/>
                <w:b/>
                <w:sz w:val="24"/>
              </w:rPr>
            </w:pPr>
            <w:r w:rsidRPr="001A349A">
              <w:rPr>
                <w:rFonts w:ascii="Arial" w:eastAsia="Arial" w:hAnsi="Arial" w:cs="Arial"/>
                <w:b/>
                <w:sz w:val="24"/>
              </w:rPr>
              <w:t xml:space="preserve">Wymagania eksploatacyjno-techniczne </w:t>
            </w:r>
          </w:p>
          <w:p w:rsidR="001A349A" w:rsidRPr="001A349A" w:rsidRDefault="001A349A" w:rsidP="001A349A">
            <w:pPr>
              <w:spacing w:after="5" w:line="249" w:lineRule="auto"/>
              <w:ind w:left="492" w:right="3" w:hanging="293"/>
              <w:jc w:val="both"/>
              <w:rPr>
                <w:rFonts w:ascii="Arial" w:eastAsia="Arial" w:hAnsi="Arial" w:cs="Arial"/>
                <w:sz w:val="24"/>
              </w:rPr>
            </w:pP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wielogazowy powinien umożliwić detekcję w atmosferze gazów (Toksycznych Środków Przemysłowych - TŚP) takich jak: chlor, amoniak, chlorowodór, siarkowodór, dwutlenek siarki, dwutlenek azotu, gazów z grupy gazów powodujących zagrożenie wybuchem EX oraz O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 / CO / H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S / SO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 / NO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A349A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Przyrząd powinien spełniać wymagania dla urządzeń typu SM określone w normie PN-EN IEC 62990-1:2023-03 "Atmosfery w miejscu pracy - Część I: Detektory gazu - Wymagania eksploatacyjne dla detektorów gazów toksycznych" wraz z aneksem A11:2023-07.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prowadzić detekcję w trybie ciągłym.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mieć możliwość wyświetlania w czasie rzeczywistym ubytku tlenu oraz wzrostu zawartości tlenku węgla.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lastRenderedPageBreak/>
              <w:t>W zakresie pomiarowym wymagane jest by detektor posiadał co najmniej dwa progi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 alarmowe (obecność gazu/niskie stężenie, wysokie stężenie/niebezpieczne stężenie).</w:t>
            </w:r>
            <w:r w:rsidRPr="001A349A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posiadać wbudowany system ostrzegania i alarmowania użytkownika o przekroczeniu zadanych limitów zawartości poszczególnych gazów w atmosferze, w tym alarm dźwiękowy, wizualny i wibracyjny.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posiadać wbudowany czytelny ekran prezentujący aktualną wartość mierzonych stężeń, poziom naładowania akumulatora oraz pozostały czas żywotności sensorów, pozwalający na obsługę i odczyt przy założonych indywidualnych środkach ochrony przed skażeniami (maska przeciwgazowa, rękawice ochronne, itp.).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mieć wymiary umożliwiające przenoszenie i obsługę jednorącz.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w konfiguracji gotowości do użycia mieć masę całkowitą nie większą niż 0,5 kg.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być gotowy do pracy w czasie nie dłuższym niż 5 minut od uruchomienia.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Dopuszcza się detektory nie wymagające testów weryfikujących działanie przed ich użyciem.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umożliwiać pracę w zakresie temperatur od -20 do +50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C.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t xml:space="preserve">Detektor powinien umożliwiać 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pracę bez zewnętrznego zasilania nie krótszą niż 8 h na zasilaniu z wewnętrznego akumulatora.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Detektor powinien mieć możliwość </w:t>
            </w:r>
            <w:r w:rsidRPr="001A349A">
              <w:rPr>
                <w:rFonts w:ascii="Arial" w:eastAsia="Arial" w:hAnsi="Arial" w:cs="Arial"/>
                <w:color w:val="auto"/>
                <w:sz w:val="24"/>
              </w:rPr>
              <w:t>ładowania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 wewnętrznego akumulatora przy użyciu zewnętrznej ładowarki lub ładowarki w urządzeniu.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t>Detektor powinien mieć możliwość zamocowania, zawieszenia (montażu) na elementach ubioru lub ciała użytkownika, która wykluczy konieczność jego trzymania w dłoni.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t>Detektor powinien spełniać wymagania</w:t>
            </w:r>
            <w:r w:rsidRPr="001A349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odporności na pył i wodę zgodnie z wymogami klasy ochronnej IP 68.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t>Dla każdego detektora wymagana jest 24 miesięczna gwarancja oraz możliwość serwisowania przyrządów na terenie Polski.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  <w:szCs w:val="24"/>
              </w:rPr>
              <w:t>Detektory powinny mieć możliwość aktualizacji oprogramowania.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  <w:szCs w:val="24"/>
              </w:rPr>
              <w:t>Dostarczone detektory powinny być nowe, nie mogą być wyprodukowane wcześniej niż 12 miesięcy przed datą dostawy.</w:t>
            </w:r>
          </w:p>
          <w:p w:rsidR="001A349A" w:rsidRPr="001A349A" w:rsidRDefault="001A349A" w:rsidP="001A349A">
            <w:pPr>
              <w:spacing w:before="25" w:line="249" w:lineRule="auto"/>
              <w:ind w:left="492" w:right="3" w:hanging="293"/>
              <w:jc w:val="both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67" w:right="3"/>
              <w:jc w:val="both"/>
              <w:outlineLvl w:val="0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b/>
                <w:color w:val="auto"/>
                <w:sz w:val="24"/>
              </w:rPr>
              <w:t>Wymagania metrologiczne</w:t>
            </w:r>
          </w:p>
          <w:p w:rsidR="001A349A" w:rsidRPr="001A349A" w:rsidRDefault="00FB26D1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1. 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Detektory powinny być dostarczone z uwzględnieniem wymogów zawartych w niżej wymienionych dokumentach:</w:t>
            </w:r>
          </w:p>
          <w:p w:rsidR="001A349A" w:rsidRPr="001A349A" w:rsidRDefault="001A349A" w:rsidP="001A349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ustawie z dnia 11 maja 2001 r. </w:t>
            </w:r>
            <w:r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>Prawo o miarach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(zawarte w art. 3 i 8);</w:t>
            </w:r>
          </w:p>
          <w:p w:rsidR="001A349A" w:rsidRPr="001A349A" w:rsidRDefault="001A349A" w:rsidP="001A349A">
            <w:pPr>
              <w:numPr>
                <w:ilvl w:val="0"/>
                <w:numId w:val="13"/>
              </w:numPr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rozporządzeniu Ministra Gospodarki i Pracy z dnia 15 lutego 2005 r. </w:t>
            </w:r>
            <w:r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>w sprawie jednolitości miar i dokładności pomiarów związanych z obronnością i bezpieczeństwem państwa z późniejszymi zmianami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(zawarte w par. 4); </w:t>
            </w:r>
          </w:p>
          <w:p w:rsidR="001A349A" w:rsidRPr="001A349A" w:rsidRDefault="001A349A" w:rsidP="001A349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rozporządzenie Ministra Rozwoju i Finansów z dnia 13 kwietnia 2017 r. </w:t>
            </w:r>
            <w:r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>w sprawie rodzajów przyrządów pomiarowych podlegających prawnej kontroli metrologicznej oraz zakresu tej kontroli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</w:t>
            </w:r>
          </w:p>
          <w:p w:rsidR="001A349A" w:rsidRPr="001A349A" w:rsidRDefault="00FB26D1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2. 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Dla detektorów podlegających dostawie, w ramach realizacji umowy, Wykonawca 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zobowiązany jest do wykonania ich wzorcowania w 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  <w:u w:val="single"/>
              </w:rPr>
              <w:t>zakresie odpowiednim do zamierzonego zastosowania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footnoteReference w:id="1"/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, w jednym z niżej wymienionych laboratoriów, zwanych 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  <w:u w:val="single"/>
              </w:rPr>
              <w:t>laboratoriami kompetentnymi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:</w:t>
            </w:r>
          </w:p>
          <w:p w:rsidR="001A349A" w:rsidRPr="001A349A" w:rsidRDefault="001A349A" w:rsidP="001A349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laboratorium akredytowanym przez jednostkę akredytującą będącą sygnatariuszem porozumienia EA MLA lub ILAC MRA, działającym w oparciu o aktualnie obowiązujące wydanie międzynarodowej normy ISO/IEC 17025 w zakresie wzorcowanej wielkości fizycznej;</w:t>
            </w:r>
          </w:p>
          <w:p w:rsidR="001A349A" w:rsidRPr="001A349A" w:rsidRDefault="001A349A" w:rsidP="001A349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krajowej instytucji metrologicznej NMI (ang. </w:t>
            </w:r>
            <w:proofErr w:type="spellStart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National</w:t>
            </w:r>
            <w:proofErr w:type="spellEnd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Metrology</w:t>
            </w:r>
            <w:proofErr w:type="spellEnd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Institute</w:t>
            </w:r>
            <w:proofErr w:type="spellEnd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 objętej porozumieniem CIPM MRA w zakresie wzorcowanej wielkości fizycznej (dalej Laboratorium NMI);</w:t>
            </w:r>
          </w:p>
          <w:p w:rsidR="001A349A" w:rsidRPr="001A349A" w:rsidRDefault="001A349A" w:rsidP="001A349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laboratorium metrologicznym uznawanym za kompetentne przez organizacje właściwe do spraw działalności metrologicznej w siłach zbrojnych państw NATO, które zaimplementowały porozumienie STANAG 4704;</w:t>
            </w:r>
          </w:p>
          <w:p w:rsidR="001A349A" w:rsidRPr="001A349A" w:rsidRDefault="00FB26D1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3. 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Dokumentem poświadczającym wykonanie wzorcowania jest świadectwo wzorcowania, które powinno zawierać wyniki pomiarów wraz z rozszerzoną niepewnością pomiarów, przy prawdopodobieństwie rozszerzenia około 95% oraz stwierdzenie zgodności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footnoteReference w:id="2"/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z wymaganiami metrologicznymi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footnoteReference w:id="3"/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dla wszystkich wyników pomiarów według zasady podejmowania decyzji określonej w wytycznych dotyczących zasad podejmowania decyzji i stwierdzeń zgodności ILAC-G8:09/2019 (Zał. B, Przykład 3: </w:t>
            </w:r>
            <w:r w:rsidR="001A349A"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>Binarna akceptacja w oparciu o pasmo ochronne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).</w:t>
            </w:r>
          </w:p>
          <w:p w:rsidR="001A349A" w:rsidRPr="001A349A" w:rsidRDefault="00FB26D1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4. 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 przypadku braku możliwości wzorcowania detektorów w 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  <w:u w:val="single"/>
              </w:rPr>
              <w:t>laboratoriach kompetentnych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wskazanych w pkt. 4, Wykonawca uzgodni z WCM laboratorium wzorcujące, które wykona i udokumentuje wzorcowanie w oparciu o Normę ISO/IEC 17025 oraz wykaże spójność pomiarową wyników pomiaru z jednostkami miar Międzynarodowego Układu Jednostek Miar (SI) lub innym właściwym odniesieniem, jeżeli spójność pomiarowa z jednostkami SI nie jest technicznie możliwa. W ramach uzgodnień Wykonawca dostarczy do WCM dowody potwierdzające kompetencje techniczne laboratorium wzorcującego, które obejmują co najmniej:</w:t>
            </w:r>
          </w:p>
          <w:p w:rsidR="001A349A" w:rsidRPr="001A349A" w:rsidRDefault="001A349A" w:rsidP="001A349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świadectwa wzorcowania / kalibracji potwierdzające wykonanie wzorcowania /kalibracji wzorców pomiarowych stosowanych do kalibracji wyposażenia pomiarowego w 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  <w:u w:val="single"/>
              </w:rPr>
              <w:t>laboratoriach kompetentnych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1A349A" w:rsidRPr="001A349A" w:rsidRDefault="001A349A" w:rsidP="001A349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weryfikację lub walidację metody wzorcowania, ocenę niepewności pomiaru oraz dokumentację potwierdzającą udział w porównaniach </w:t>
            </w:r>
            <w:r w:rsidR="00F74B69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między laboratoryjnych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1A349A" w:rsidRPr="001A349A" w:rsidRDefault="001A349A" w:rsidP="001A349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potwierdzenie kompetencji technicznych przez organizację udzielającą uznania na zgodność z normą ISO/IEC 17025, jeżeli występuje.</w:t>
            </w:r>
          </w:p>
          <w:p w:rsidR="001A349A" w:rsidRPr="001A349A" w:rsidRDefault="00FB26D1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5. 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Wykonawca dostarczy dowody na spełnienie wymagań podanych w pkt. 6 przez laboratorium przed wykonaniem wzorcowania.</w:t>
            </w:r>
          </w:p>
          <w:p w:rsidR="001A349A" w:rsidRPr="001A349A" w:rsidRDefault="00FB26D1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6. </w:t>
            </w:r>
            <w:bookmarkStart w:id="0" w:name="_GoBack"/>
            <w:bookmarkEnd w:id="0"/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Wykonawca wraz z i detektorami dostarczy świadectwa wzorcowania, które powinny posiadać co najmniej </w:t>
            </w:r>
            <w:r w:rsidR="001A349A"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  <w:u w:val="single"/>
              </w:rPr>
              <w:t xml:space="preserve">75% zapas okresu ważności wzorcowania </w:t>
            </w:r>
            <w:r w:rsidR="001A349A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 momencie przekazania Zamawiającemu.</w:t>
            </w: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67" w:right="3"/>
              <w:jc w:val="both"/>
              <w:outlineLvl w:val="0"/>
              <w:rPr>
                <w:rFonts w:ascii="Arial" w:eastAsia="Arial" w:hAnsi="Arial" w:cs="Arial"/>
                <w:b/>
                <w:sz w:val="24"/>
              </w:rPr>
            </w:pPr>
            <w:r w:rsidRPr="001A349A">
              <w:rPr>
                <w:rFonts w:ascii="Arial" w:eastAsia="Arial" w:hAnsi="Arial" w:cs="Arial"/>
                <w:b/>
                <w:sz w:val="24"/>
              </w:rPr>
              <w:t xml:space="preserve">Ukompletowanie </w:t>
            </w:r>
          </w:p>
          <w:p w:rsidR="001A349A" w:rsidRPr="001A349A" w:rsidRDefault="001A349A" w:rsidP="001A349A">
            <w:pPr>
              <w:numPr>
                <w:ilvl w:val="0"/>
                <w:numId w:val="12"/>
              </w:numPr>
              <w:spacing w:before="25" w:line="360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</w:rPr>
            </w:pPr>
            <w:r w:rsidRPr="001A349A">
              <w:rPr>
                <w:rFonts w:ascii="Arial" w:eastAsia="Times New Roman" w:hAnsi="Arial" w:cs="Arial"/>
                <w:sz w:val="24"/>
                <w:szCs w:val="24"/>
              </w:rPr>
              <w:t>Do każdego detektora wymaga się dostarczenia instrukcji użytkowania detektora sporządzonej w języku polskim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A349A" w:rsidRPr="001A349A" w:rsidRDefault="001A349A" w:rsidP="001A349A">
            <w:pPr>
              <w:numPr>
                <w:ilvl w:val="0"/>
                <w:numId w:val="12"/>
              </w:numPr>
              <w:spacing w:before="25" w:line="360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Do każdego z detektorów należy dostarczyć dedykowaną ładowarkę bądź przewód do ładowania, umożliwiające zasilenie z sieci 220V, 50Hz.</w:t>
            </w:r>
          </w:p>
          <w:p w:rsidR="001A349A" w:rsidRPr="001A349A" w:rsidRDefault="001A349A" w:rsidP="001A349A">
            <w:pPr>
              <w:numPr>
                <w:ilvl w:val="0"/>
                <w:numId w:val="12"/>
              </w:numPr>
              <w:spacing w:before="25" w:line="360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Każdy detektor powinien być umieszczony w dedykowanym opakowaniu transportowym zabezpieczającym urządzenie przed upadkiem z wysokości 1,5 m.</w:t>
            </w:r>
          </w:p>
          <w:p w:rsidR="00C734D3" w:rsidRPr="001E01E2" w:rsidRDefault="00C734D3" w:rsidP="00C734D3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7F0025" w:rsidRPr="00617A6B" w:rsidRDefault="007F0025">
      <w:pPr>
        <w:spacing w:after="42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 w:rsidP="00712EB0">
      <w:pPr>
        <w:spacing w:after="26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Default="001E01E2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617A6B" w:rsidRPr="001E01E2" w:rsidRDefault="00617A6B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 w:rsidP="001A349A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sectPr w:rsidR="009D4B0A" w:rsidRPr="001E01E2"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DD7" w:rsidRDefault="00B35DD7" w:rsidP="00C319D2">
      <w:pPr>
        <w:spacing w:after="0" w:line="240" w:lineRule="auto"/>
      </w:pPr>
      <w:r>
        <w:separator/>
      </w:r>
    </w:p>
  </w:endnote>
  <w:endnote w:type="continuationSeparator" w:id="0">
    <w:p w:rsidR="00B35DD7" w:rsidRDefault="00B35DD7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DD7" w:rsidRDefault="00B35DD7" w:rsidP="00C319D2">
      <w:pPr>
        <w:spacing w:after="0" w:line="240" w:lineRule="auto"/>
      </w:pPr>
      <w:r>
        <w:separator/>
      </w:r>
    </w:p>
  </w:footnote>
  <w:footnote w:type="continuationSeparator" w:id="0">
    <w:p w:rsidR="00B35DD7" w:rsidRDefault="00B35DD7" w:rsidP="00C319D2">
      <w:pPr>
        <w:spacing w:after="0" w:line="240" w:lineRule="auto"/>
      </w:pPr>
      <w:r>
        <w:continuationSeparator/>
      </w:r>
    </w:p>
  </w:footnote>
  <w:footnote w:id="1">
    <w:p w:rsidR="001A349A" w:rsidRPr="00B100F0" w:rsidRDefault="001A349A" w:rsidP="001A349A">
      <w:pPr>
        <w:pStyle w:val="Tekstprzypisudolnego"/>
      </w:pPr>
      <w:r w:rsidRPr="00B100F0">
        <w:rPr>
          <w:rStyle w:val="Odwoanieprzypisudolnego"/>
        </w:rPr>
        <w:footnoteRef/>
      </w:r>
      <w:r w:rsidRPr="00B100F0">
        <w:t xml:space="preserve"> Zakres odpowiedni do zamierzonego zastosowania oznacza wymagany zakres wzorcowania w</w:t>
      </w:r>
      <w:r>
        <w:t> </w:t>
      </w:r>
      <w:r w:rsidRPr="00B100F0">
        <w:t>odniesieniu</w:t>
      </w:r>
      <w:r>
        <w:t xml:space="preserve"> </w:t>
      </w:r>
      <w:r w:rsidRPr="00B100F0">
        <w:t>do zakresu pomiarowego wykorzystywanego przez wzorcowane wyposażenie oraz odpowiedniej niepewności pomiarowej wzorcowania, pozwalającej na stwierdzenie zgodności z</w:t>
      </w:r>
      <w:r>
        <w:t> </w:t>
      </w:r>
      <w:r w:rsidRPr="00B100F0">
        <w:t>wymaganiami metrologicznymi.</w:t>
      </w:r>
    </w:p>
  </w:footnote>
  <w:footnote w:id="2">
    <w:p w:rsidR="001A349A" w:rsidRPr="00AA653A" w:rsidRDefault="001A349A" w:rsidP="001A349A">
      <w:pPr>
        <w:pStyle w:val="Tekstprzypisudolnego"/>
        <w:ind w:left="142" w:hanging="142"/>
      </w:pPr>
      <w:r w:rsidRPr="00AA653A">
        <w:rPr>
          <w:rStyle w:val="Odwoanieprzypisudolnego"/>
        </w:rPr>
        <w:footnoteRef/>
      </w:r>
      <w:r w:rsidRPr="00AA653A">
        <w:t xml:space="preserve"> Jeżeli świadectwo wzorcowania nie zawiera stwierdzenia zgodności z wymaganiami metrologicznymi, stwierdzenie to może zostać dostarczone wraz ze świadectwem na oddzielnym dokumencie.</w:t>
      </w:r>
    </w:p>
  </w:footnote>
  <w:footnote w:id="3">
    <w:p w:rsidR="001A349A" w:rsidRPr="00870C4E" w:rsidRDefault="001A349A" w:rsidP="001A349A">
      <w:pPr>
        <w:pStyle w:val="Tekstprzypisudolnego"/>
        <w:ind w:left="142" w:hanging="142"/>
      </w:pPr>
      <w:r w:rsidRPr="00AA653A">
        <w:rPr>
          <w:rStyle w:val="Odwoanieprzypisudolnego"/>
        </w:rPr>
        <w:footnoteRef/>
      </w:r>
      <w:r w:rsidRPr="00AA653A">
        <w:t xml:space="preserve"> Wymagania określone przez producenta wyposażenia pomiarowego i metrologicznego lub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475"/>
    <w:multiLevelType w:val="hybridMultilevel"/>
    <w:tmpl w:val="01A443F6"/>
    <w:lvl w:ilvl="0" w:tplc="7FFC6F74">
      <w:start w:val="1"/>
      <w:numFmt w:val="decimal"/>
      <w:lvlText w:val="%1."/>
      <w:lvlJc w:val="center"/>
      <w:pPr>
        <w:ind w:left="7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EA2C">
      <w:start w:val="1"/>
      <w:numFmt w:val="lowerLetter"/>
      <w:lvlText w:val="%2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AB60">
      <w:start w:val="1"/>
      <w:numFmt w:val="lowerRoman"/>
      <w:lvlText w:val="%3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2461A">
      <w:start w:val="1"/>
      <w:numFmt w:val="decimal"/>
      <w:lvlText w:val="%4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0A6E">
      <w:start w:val="1"/>
      <w:numFmt w:val="lowerLetter"/>
      <w:lvlText w:val="%5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EA456">
      <w:start w:val="1"/>
      <w:numFmt w:val="lowerRoman"/>
      <w:lvlText w:val="%6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A3DCA">
      <w:start w:val="1"/>
      <w:numFmt w:val="decimal"/>
      <w:lvlText w:val="%7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2A72">
      <w:start w:val="1"/>
      <w:numFmt w:val="lowerLetter"/>
      <w:lvlText w:val="%8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0EA3C">
      <w:start w:val="1"/>
      <w:numFmt w:val="lowerRoman"/>
      <w:lvlText w:val="%9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4002E"/>
    <w:multiLevelType w:val="multilevel"/>
    <w:tmpl w:val="4F42157E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" w15:restartNumberingAfterBreak="0">
    <w:nsid w:val="0DCE5803"/>
    <w:multiLevelType w:val="multilevel"/>
    <w:tmpl w:val="B5ACFDFC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40754"/>
    <w:multiLevelType w:val="hybridMultilevel"/>
    <w:tmpl w:val="B5425CD6"/>
    <w:lvl w:ilvl="0" w:tplc="FB7C4C3C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4848">
      <w:start w:val="1"/>
      <w:numFmt w:val="lowerLetter"/>
      <w:lvlText w:val="%2"/>
      <w:lvlJc w:val="left"/>
      <w:pPr>
        <w:ind w:left="1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4B2EA">
      <w:start w:val="1"/>
      <w:numFmt w:val="lowerRoman"/>
      <w:lvlText w:val="%3"/>
      <w:lvlJc w:val="left"/>
      <w:pPr>
        <w:ind w:left="1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EC8EE">
      <w:start w:val="1"/>
      <w:numFmt w:val="decimal"/>
      <w:lvlText w:val="%4"/>
      <w:lvlJc w:val="left"/>
      <w:pPr>
        <w:ind w:left="2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CA43C">
      <w:start w:val="1"/>
      <w:numFmt w:val="lowerLetter"/>
      <w:lvlText w:val="%5"/>
      <w:lvlJc w:val="left"/>
      <w:pPr>
        <w:ind w:left="3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E70C">
      <w:start w:val="1"/>
      <w:numFmt w:val="lowerRoman"/>
      <w:lvlText w:val="%6"/>
      <w:lvlJc w:val="left"/>
      <w:pPr>
        <w:ind w:left="39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29C44">
      <w:start w:val="1"/>
      <w:numFmt w:val="decimal"/>
      <w:lvlText w:val="%7"/>
      <w:lvlJc w:val="left"/>
      <w:pPr>
        <w:ind w:left="4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0A6C">
      <w:start w:val="1"/>
      <w:numFmt w:val="lowerLetter"/>
      <w:lvlText w:val="%8"/>
      <w:lvlJc w:val="left"/>
      <w:pPr>
        <w:ind w:left="54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BD82">
      <w:start w:val="1"/>
      <w:numFmt w:val="lowerRoman"/>
      <w:lvlText w:val="%9"/>
      <w:lvlJc w:val="left"/>
      <w:pPr>
        <w:ind w:left="6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274C0"/>
    <w:multiLevelType w:val="hybridMultilevel"/>
    <w:tmpl w:val="01A443F6"/>
    <w:lvl w:ilvl="0" w:tplc="7FFC6F74">
      <w:start w:val="1"/>
      <w:numFmt w:val="decimal"/>
      <w:lvlText w:val="%1."/>
      <w:lvlJc w:val="center"/>
      <w:pPr>
        <w:ind w:left="7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EA2C">
      <w:start w:val="1"/>
      <w:numFmt w:val="lowerLetter"/>
      <w:lvlText w:val="%2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AB60">
      <w:start w:val="1"/>
      <w:numFmt w:val="lowerRoman"/>
      <w:lvlText w:val="%3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2461A">
      <w:start w:val="1"/>
      <w:numFmt w:val="decimal"/>
      <w:lvlText w:val="%4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0A6E">
      <w:start w:val="1"/>
      <w:numFmt w:val="lowerLetter"/>
      <w:lvlText w:val="%5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EA456">
      <w:start w:val="1"/>
      <w:numFmt w:val="lowerRoman"/>
      <w:lvlText w:val="%6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A3DCA">
      <w:start w:val="1"/>
      <w:numFmt w:val="decimal"/>
      <w:lvlText w:val="%7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2A72">
      <w:start w:val="1"/>
      <w:numFmt w:val="lowerLetter"/>
      <w:lvlText w:val="%8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0EA3C">
      <w:start w:val="1"/>
      <w:numFmt w:val="lowerRoman"/>
      <w:lvlText w:val="%9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4D14E9"/>
    <w:multiLevelType w:val="multilevel"/>
    <w:tmpl w:val="934E8696"/>
    <w:lvl w:ilvl="0">
      <w:start w:val="1"/>
      <w:numFmt w:val="decimal"/>
      <w:lvlText w:val="%1."/>
      <w:lvlJc w:val="right"/>
      <w:pPr>
        <w:ind w:left="75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58773B"/>
    <w:multiLevelType w:val="multilevel"/>
    <w:tmpl w:val="68867D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123BA7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5B6C49"/>
    <w:multiLevelType w:val="hybridMultilevel"/>
    <w:tmpl w:val="7CC4FE76"/>
    <w:lvl w:ilvl="0" w:tplc="B4B652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B2605"/>
    <w:multiLevelType w:val="multilevel"/>
    <w:tmpl w:val="C074B40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144A80"/>
    <w:multiLevelType w:val="multilevel"/>
    <w:tmpl w:val="D32255D0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4A7CAF"/>
    <w:multiLevelType w:val="hybridMultilevel"/>
    <w:tmpl w:val="01A443F6"/>
    <w:lvl w:ilvl="0" w:tplc="7FFC6F74">
      <w:start w:val="1"/>
      <w:numFmt w:val="decimal"/>
      <w:lvlText w:val="%1."/>
      <w:lvlJc w:val="center"/>
      <w:pPr>
        <w:ind w:left="7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EA2C">
      <w:start w:val="1"/>
      <w:numFmt w:val="lowerLetter"/>
      <w:lvlText w:val="%2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AB60">
      <w:start w:val="1"/>
      <w:numFmt w:val="lowerRoman"/>
      <w:lvlText w:val="%3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2461A">
      <w:start w:val="1"/>
      <w:numFmt w:val="decimal"/>
      <w:lvlText w:val="%4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0A6E">
      <w:start w:val="1"/>
      <w:numFmt w:val="lowerLetter"/>
      <w:lvlText w:val="%5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EA456">
      <w:start w:val="1"/>
      <w:numFmt w:val="lowerRoman"/>
      <w:lvlText w:val="%6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A3DCA">
      <w:start w:val="1"/>
      <w:numFmt w:val="decimal"/>
      <w:lvlText w:val="%7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2A72">
      <w:start w:val="1"/>
      <w:numFmt w:val="lowerLetter"/>
      <w:lvlText w:val="%8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0EA3C">
      <w:start w:val="1"/>
      <w:numFmt w:val="lowerRoman"/>
      <w:lvlText w:val="%9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E07715"/>
    <w:multiLevelType w:val="multilevel"/>
    <w:tmpl w:val="5BECD6E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11919"/>
    <w:rsid w:val="00082EE2"/>
    <w:rsid w:val="000E53D7"/>
    <w:rsid w:val="00111993"/>
    <w:rsid w:val="00170CF7"/>
    <w:rsid w:val="001A349A"/>
    <w:rsid w:val="001E01E2"/>
    <w:rsid w:val="0027610A"/>
    <w:rsid w:val="00291DF3"/>
    <w:rsid w:val="002B532D"/>
    <w:rsid w:val="003969E9"/>
    <w:rsid w:val="003F306C"/>
    <w:rsid w:val="0053541B"/>
    <w:rsid w:val="00617A6B"/>
    <w:rsid w:val="00712EB0"/>
    <w:rsid w:val="00777351"/>
    <w:rsid w:val="007F0025"/>
    <w:rsid w:val="00862D8A"/>
    <w:rsid w:val="00872771"/>
    <w:rsid w:val="009B4138"/>
    <w:rsid w:val="009D4B0A"/>
    <w:rsid w:val="00AA75D3"/>
    <w:rsid w:val="00B35DD7"/>
    <w:rsid w:val="00C319D2"/>
    <w:rsid w:val="00C734D3"/>
    <w:rsid w:val="00D57050"/>
    <w:rsid w:val="00E12F91"/>
    <w:rsid w:val="00F46639"/>
    <w:rsid w:val="00F543DE"/>
    <w:rsid w:val="00F74B69"/>
    <w:rsid w:val="00FB26D1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2E123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1_literowka Znak,Literowanie Znak,Preambuła Znak,Data wydania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011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19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4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4D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rsid w:val="00C734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76D2-0131-47A3-BE28-4840EB0834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27F072-9501-4B26-BE0B-8B331E9A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1354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21</cp:revision>
  <cp:lastPrinted>2025-05-06T12:45:00Z</cp:lastPrinted>
  <dcterms:created xsi:type="dcterms:W3CDTF">2024-12-13T10:19:00Z</dcterms:created>
  <dcterms:modified xsi:type="dcterms:W3CDTF">2025-06-10T12:50:00Z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c6f1c9f2-455f-4ffc-9234-7370c7943754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10.30.140.59</vt:lpwstr>
  </property>
</Properties>
</file>