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05E9D" w14:textId="77777777" w:rsidR="008400BD" w:rsidRPr="00217A73" w:rsidRDefault="008400BD" w:rsidP="008400BD">
      <w:pPr>
        <w:suppressAutoHyphens w:val="0"/>
        <w:spacing w:after="232" w:line="259" w:lineRule="auto"/>
        <w:jc w:val="right"/>
        <w:rPr>
          <w:rFonts w:ascii="Cambria" w:hAnsi="Cambria"/>
          <w:b/>
          <w:color w:val="000000"/>
          <w:sz w:val="22"/>
          <w:szCs w:val="22"/>
          <w:lang w:eastAsia="pl-PL"/>
        </w:rPr>
      </w:pPr>
      <w:r w:rsidRPr="00217A73">
        <w:rPr>
          <w:rFonts w:ascii="Cambria" w:eastAsia="Calibri" w:hAnsi="Cambria"/>
          <w:b/>
          <w:color w:val="000000"/>
          <w:sz w:val="22"/>
          <w:szCs w:val="22"/>
          <w:lang w:eastAsia="pl-PL"/>
        </w:rPr>
        <w:t xml:space="preserve">Załącznik nr 12 do SWZ </w:t>
      </w:r>
    </w:p>
    <w:p w14:paraId="796A7EDB" w14:textId="77777777" w:rsidR="008400BD" w:rsidRPr="00217A73" w:rsidRDefault="008400BD" w:rsidP="008400BD">
      <w:pPr>
        <w:suppressAutoHyphens w:val="0"/>
        <w:spacing w:after="33" w:line="259" w:lineRule="auto"/>
        <w:ind w:left="12"/>
        <w:rPr>
          <w:rFonts w:ascii="Cambria" w:hAnsi="Cambria"/>
          <w:color w:val="000000"/>
          <w:sz w:val="22"/>
          <w:szCs w:val="22"/>
          <w:lang w:eastAsia="pl-PL"/>
        </w:rPr>
      </w:pPr>
      <w:r w:rsidRPr="00217A73">
        <w:rPr>
          <w:rFonts w:ascii="Cambria" w:eastAsia="Calibri" w:hAnsi="Cambria"/>
          <w:color w:val="000000"/>
          <w:sz w:val="22"/>
          <w:szCs w:val="22"/>
          <w:lang w:eastAsia="pl-PL"/>
        </w:rPr>
        <w:t xml:space="preserve"> </w:t>
      </w:r>
    </w:p>
    <w:p w14:paraId="05917EE3" w14:textId="77777777" w:rsidR="008400BD" w:rsidRPr="00217A73" w:rsidRDefault="008400BD" w:rsidP="008400BD">
      <w:pPr>
        <w:suppressAutoHyphens w:val="0"/>
        <w:spacing w:line="259" w:lineRule="auto"/>
        <w:ind w:left="10" w:right="48" w:hanging="10"/>
        <w:jc w:val="center"/>
        <w:rPr>
          <w:rFonts w:ascii="Cambria" w:hAnsi="Cambria"/>
          <w:color w:val="000000"/>
          <w:sz w:val="22"/>
          <w:szCs w:val="22"/>
          <w:lang w:eastAsia="pl-PL"/>
        </w:rPr>
      </w:pPr>
      <w:r w:rsidRPr="00217A73">
        <w:rPr>
          <w:rFonts w:ascii="Cambria" w:eastAsia="Arial" w:hAnsi="Cambria"/>
          <w:b/>
          <w:color w:val="000000"/>
          <w:sz w:val="22"/>
          <w:szCs w:val="22"/>
          <w:lang w:eastAsia="pl-PL"/>
        </w:rPr>
        <w:t>INSTRUKCJA WYPEŁNIANIA</w:t>
      </w:r>
      <w:r w:rsidRPr="00217A7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</w:t>
      </w:r>
    </w:p>
    <w:p w14:paraId="39BD9086" w14:textId="77777777" w:rsidR="008400BD" w:rsidRPr="00217A73" w:rsidRDefault="008400BD" w:rsidP="008400BD">
      <w:pPr>
        <w:suppressAutoHyphens w:val="0"/>
        <w:spacing w:line="259" w:lineRule="auto"/>
        <w:ind w:left="10" w:right="49" w:hanging="10"/>
        <w:jc w:val="center"/>
        <w:rPr>
          <w:rFonts w:ascii="Cambria" w:hAnsi="Cambria"/>
          <w:color w:val="000000"/>
          <w:sz w:val="22"/>
          <w:szCs w:val="22"/>
          <w:lang w:eastAsia="pl-PL"/>
        </w:rPr>
      </w:pPr>
      <w:r w:rsidRPr="00217A73">
        <w:rPr>
          <w:rFonts w:ascii="Cambria" w:eastAsia="Arial" w:hAnsi="Cambria"/>
          <w:b/>
          <w:color w:val="000000"/>
          <w:sz w:val="22"/>
          <w:szCs w:val="22"/>
          <w:lang w:eastAsia="pl-PL"/>
        </w:rPr>
        <w:t>Jednolity Europejski Dokument Zamówienia JEDZ</w:t>
      </w:r>
      <w:r w:rsidRPr="00217A7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</w:t>
      </w:r>
    </w:p>
    <w:p w14:paraId="385E3827" w14:textId="77777777" w:rsidR="008400BD" w:rsidRPr="00217A73" w:rsidRDefault="008400BD" w:rsidP="008400BD">
      <w:pPr>
        <w:suppressAutoHyphens w:val="0"/>
        <w:spacing w:line="259" w:lineRule="auto"/>
        <w:ind w:right="46"/>
        <w:jc w:val="center"/>
        <w:rPr>
          <w:rFonts w:ascii="Cambria" w:hAnsi="Cambria"/>
          <w:color w:val="000000"/>
          <w:sz w:val="22"/>
          <w:szCs w:val="22"/>
          <w:lang w:val="fr-FR" w:eastAsia="pl-PL"/>
        </w:rPr>
      </w:pPr>
      <w:r w:rsidRPr="00217A73">
        <w:rPr>
          <w:rFonts w:ascii="Cambria" w:eastAsia="Arial" w:hAnsi="Cambria"/>
          <w:b/>
          <w:color w:val="000000"/>
          <w:sz w:val="22"/>
          <w:szCs w:val="22"/>
          <w:lang w:val="fr-FR" w:eastAsia="pl-PL"/>
        </w:rPr>
        <w:t>(</w:t>
      </w:r>
      <w:r w:rsidRPr="00217A73">
        <w:rPr>
          <w:rFonts w:ascii="Cambria" w:eastAsia="Arial" w:hAnsi="Cambria"/>
          <w:b/>
          <w:i/>
          <w:color w:val="000000"/>
          <w:sz w:val="22"/>
          <w:szCs w:val="22"/>
          <w:lang w:val="fr-FR" w:eastAsia="pl-PL"/>
        </w:rPr>
        <w:t>European Single Procurement Document ESPD</w:t>
      </w:r>
      <w:r w:rsidRPr="00217A73">
        <w:rPr>
          <w:rFonts w:ascii="Cambria" w:eastAsia="Arial" w:hAnsi="Cambria"/>
          <w:b/>
          <w:color w:val="000000"/>
          <w:sz w:val="22"/>
          <w:szCs w:val="22"/>
          <w:lang w:val="fr-FR" w:eastAsia="pl-PL"/>
        </w:rPr>
        <w:t xml:space="preserve">) </w:t>
      </w:r>
    </w:p>
    <w:p w14:paraId="119CF0FC" w14:textId="77777777" w:rsidR="008400BD" w:rsidRPr="00217A73" w:rsidRDefault="008400BD" w:rsidP="008400BD">
      <w:pPr>
        <w:suppressAutoHyphens w:val="0"/>
        <w:spacing w:line="259" w:lineRule="auto"/>
        <w:ind w:left="29"/>
        <w:jc w:val="center"/>
        <w:rPr>
          <w:rFonts w:ascii="Cambria" w:hAnsi="Cambria"/>
          <w:color w:val="000000"/>
          <w:sz w:val="22"/>
          <w:szCs w:val="22"/>
          <w:lang w:val="fr-FR" w:eastAsia="pl-PL"/>
        </w:rPr>
      </w:pPr>
      <w:r w:rsidRPr="00217A73">
        <w:rPr>
          <w:rFonts w:ascii="Cambria" w:eastAsia="Arial" w:hAnsi="Cambria"/>
          <w:color w:val="000000"/>
          <w:sz w:val="22"/>
          <w:szCs w:val="22"/>
          <w:lang w:val="fr-FR" w:eastAsia="pl-PL"/>
        </w:rPr>
        <w:t xml:space="preserve"> </w:t>
      </w:r>
    </w:p>
    <w:p w14:paraId="4CD5AB98" w14:textId="77777777" w:rsidR="008400BD" w:rsidRPr="00475FD3" w:rsidRDefault="008400BD" w:rsidP="008400BD">
      <w:pPr>
        <w:keepNext/>
        <w:keepLines/>
        <w:suppressAutoHyphens w:val="0"/>
        <w:spacing w:line="259" w:lineRule="auto"/>
        <w:ind w:left="7" w:hanging="10"/>
        <w:jc w:val="both"/>
        <w:outlineLvl w:val="1"/>
        <w:rPr>
          <w:rFonts w:ascii="Cambria" w:eastAsia="Arial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b/>
          <w:color w:val="000000"/>
          <w:sz w:val="22"/>
          <w:szCs w:val="22"/>
          <w:lang w:eastAsia="pl-PL"/>
        </w:rPr>
        <w:t>I. Wejście w życie dyrektyw a podmiotowa kwalifikacja Wykonawców</w:t>
      </w: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</w:t>
      </w:r>
    </w:p>
    <w:p w14:paraId="3C24BAF7" w14:textId="77777777" w:rsidR="008400BD" w:rsidRPr="00475FD3" w:rsidRDefault="008400BD" w:rsidP="008400BD">
      <w:pPr>
        <w:suppressAutoHyphens w:val="0"/>
        <w:spacing w:after="5" w:line="266" w:lineRule="auto"/>
        <w:ind w:left="5" w:right="363" w:hanging="11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</w:t>
      </w:r>
    </w:p>
    <w:p w14:paraId="682559EA" w14:textId="77777777" w:rsidR="008400BD" w:rsidRPr="00475FD3" w:rsidRDefault="008400BD" w:rsidP="008400BD">
      <w:pPr>
        <w:suppressAutoHyphens w:val="0"/>
        <w:autoSpaceDE w:val="0"/>
        <w:autoSpaceDN w:val="0"/>
        <w:adjustRightInd w:val="0"/>
        <w:spacing w:after="5" w:line="266" w:lineRule="auto"/>
        <w:ind w:left="5" w:right="363" w:hanging="11"/>
        <w:jc w:val="both"/>
        <w:rPr>
          <w:rFonts w:ascii="Cambria" w:eastAsia="CIDFont+F4" w:hAnsi="Cambria" w:cs="CIDFont+F4"/>
          <w:sz w:val="22"/>
          <w:szCs w:val="22"/>
          <w:lang w:eastAsia="pl-PL"/>
        </w:rPr>
      </w:pPr>
      <w:r w:rsidRPr="00475FD3">
        <w:rPr>
          <w:rFonts w:ascii="Cambria" w:eastAsia="CIDFont+F4" w:hAnsi="Cambria" w:cs="CIDFont+F4"/>
          <w:sz w:val="22"/>
          <w:szCs w:val="22"/>
          <w:lang w:eastAsia="pl-PL"/>
        </w:rPr>
        <w:t>Zgodnie z regulacjami art. 59 dyrektywy 2014/24/UE1 oraz art. 80 ust. 3 dyrektywy</w:t>
      </w:r>
    </w:p>
    <w:p w14:paraId="7BF74B15" w14:textId="77777777" w:rsidR="008400BD" w:rsidRPr="00475FD3" w:rsidRDefault="008400BD" w:rsidP="008400BD">
      <w:pPr>
        <w:suppressAutoHyphens w:val="0"/>
        <w:autoSpaceDE w:val="0"/>
        <w:autoSpaceDN w:val="0"/>
        <w:adjustRightInd w:val="0"/>
        <w:spacing w:after="5" w:line="266" w:lineRule="auto"/>
        <w:ind w:left="5" w:right="363" w:hanging="11"/>
        <w:jc w:val="both"/>
        <w:rPr>
          <w:rFonts w:ascii="Cambria" w:eastAsia="CIDFont+F4" w:hAnsi="Cambria" w:cs="CIDFont+F4"/>
          <w:sz w:val="22"/>
          <w:szCs w:val="22"/>
          <w:lang w:eastAsia="pl-PL"/>
        </w:rPr>
      </w:pPr>
      <w:r w:rsidRPr="00475FD3">
        <w:rPr>
          <w:rFonts w:ascii="Cambria" w:eastAsia="CIDFont+F4" w:hAnsi="Cambria" w:cs="CIDFont+F4"/>
          <w:sz w:val="22"/>
          <w:szCs w:val="22"/>
          <w:lang w:eastAsia="pl-PL"/>
        </w:rPr>
        <w:t>2014/25/UE2, dalej: „</w:t>
      </w:r>
      <w:r w:rsidRPr="00475FD3">
        <w:rPr>
          <w:rFonts w:ascii="Cambria" w:eastAsia="CIDFont+F4" w:hAnsi="Cambria" w:cs="CIDFont+F5"/>
          <w:sz w:val="22"/>
          <w:szCs w:val="22"/>
          <w:lang w:eastAsia="pl-PL"/>
        </w:rPr>
        <w:t>dyrektywa</w:t>
      </w:r>
      <w:r w:rsidRPr="00475FD3">
        <w:rPr>
          <w:rFonts w:ascii="Cambria" w:eastAsia="CIDFont+F4" w:hAnsi="Cambria" w:cs="CIDFont+F4"/>
          <w:sz w:val="22"/>
          <w:szCs w:val="22"/>
          <w:lang w:eastAsia="pl-PL"/>
        </w:rPr>
        <w:t>” lub „</w:t>
      </w:r>
      <w:r w:rsidRPr="00475FD3">
        <w:rPr>
          <w:rFonts w:ascii="Cambria" w:eastAsia="CIDFont+F4" w:hAnsi="Cambria" w:cs="CIDFont+F5"/>
          <w:sz w:val="22"/>
          <w:szCs w:val="22"/>
          <w:lang w:eastAsia="pl-PL"/>
        </w:rPr>
        <w:t>dyrektywy</w:t>
      </w:r>
      <w:r w:rsidRPr="00475FD3">
        <w:rPr>
          <w:rFonts w:ascii="Cambria" w:eastAsia="CIDFont+F4" w:hAnsi="Cambria" w:cs="CIDFont+F4"/>
          <w:sz w:val="22"/>
          <w:szCs w:val="22"/>
          <w:lang w:eastAsia="pl-PL"/>
        </w:rPr>
        <w:t>”, jak też ustawą z dnia 11 września 2019 r.– Prawo zamówień publicznych (Dz. U. poz. 2019 oraz z 2020 r. poz. 288, 1492, 1517, 2275 i 2320), dalej „</w:t>
      </w:r>
      <w:r w:rsidRPr="00475FD3">
        <w:rPr>
          <w:rFonts w:ascii="Cambria" w:eastAsia="CIDFont+F4" w:hAnsi="Cambria" w:cs="CIDFont+F5"/>
          <w:sz w:val="22"/>
          <w:szCs w:val="22"/>
          <w:lang w:eastAsia="pl-PL"/>
        </w:rPr>
        <w:t xml:space="preserve">ustawa </w:t>
      </w:r>
      <w:proofErr w:type="spellStart"/>
      <w:r w:rsidRPr="00475FD3">
        <w:rPr>
          <w:rFonts w:ascii="Cambria" w:eastAsia="CIDFont+F4" w:hAnsi="Cambria" w:cs="CIDFont+F5"/>
          <w:sz w:val="22"/>
          <w:szCs w:val="22"/>
          <w:lang w:eastAsia="pl-PL"/>
        </w:rPr>
        <w:t>Pzp</w:t>
      </w:r>
      <w:proofErr w:type="spellEnd"/>
      <w:r w:rsidRPr="00475FD3">
        <w:rPr>
          <w:rFonts w:ascii="Cambria" w:eastAsia="CIDFont+F4" w:hAnsi="Cambria" w:cs="CIDFont+F4"/>
          <w:sz w:val="22"/>
          <w:szCs w:val="22"/>
          <w:lang w:eastAsia="pl-PL"/>
        </w:rPr>
        <w:t>”, w odniesieniu do postępowań o udzielenie zamówienia klasycznego oraz sektorowego, których wartość jest równa lub przekracza progi unijne</w:t>
      </w:r>
      <w:r w:rsidRPr="00475FD3">
        <w:rPr>
          <w:rFonts w:ascii="Cambria" w:eastAsia="CIDFont+F4" w:hAnsi="Cambria" w:cs="CIDFont+F4"/>
          <w:sz w:val="22"/>
          <w:szCs w:val="22"/>
          <w:vertAlign w:val="superscript"/>
          <w:lang w:eastAsia="pl-PL"/>
        </w:rPr>
        <w:t>3</w:t>
      </w:r>
      <w:r w:rsidRPr="00475FD3">
        <w:rPr>
          <w:rFonts w:ascii="Cambria" w:eastAsia="CIDFont+F4" w:hAnsi="Cambria" w:cs="CIDFont+F4"/>
          <w:sz w:val="22"/>
          <w:szCs w:val="22"/>
          <w:lang w:eastAsia="pl-PL"/>
        </w:rPr>
        <w:t>, podstawowym dokumentem stanowiącym potwierdzenie:</w:t>
      </w:r>
    </w:p>
    <w:p w14:paraId="5908661B" w14:textId="77777777" w:rsidR="008400BD" w:rsidRPr="00475FD3" w:rsidRDefault="008400BD" w:rsidP="008400BD">
      <w:pPr>
        <w:suppressAutoHyphens w:val="0"/>
        <w:spacing w:after="5" w:line="266" w:lineRule="auto"/>
        <w:ind w:left="5" w:right="363"/>
        <w:jc w:val="both"/>
        <w:rPr>
          <w:rFonts w:ascii="Cambria" w:eastAsia="CIDFont+F4" w:hAnsi="Cambria" w:cs="CIDFont+F4"/>
          <w:sz w:val="22"/>
          <w:szCs w:val="22"/>
          <w:lang w:eastAsia="pl-PL"/>
        </w:rPr>
      </w:pPr>
    </w:p>
    <w:p w14:paraId="3241EEDA" w14:textId="77777777" w:rsidR="008400BD" w:rsidRPr="00475FD3" w:rsidRDefault="008400BD" w:rsidP="008400BD">
      <w:pPr>
        <w:numPr>
          <w:ilvl w:val="0"/>
          <w:numId w:val="1"/>
        </w:numPr>
        <w:suppressAutoHyphens w:val="0"/>
        <w:spacing w:after="5" w:line="266" w:lineRule="auto"/>
        <w:ind w:right="363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spełniania przez Wykonawcę warunków udziału w postępowaniu </w:t>
      </w:r>
    </w:p>
    <w:p w14:paraId="26750141" w14:textId="77777777" w:rsidR="008400BD" w:rsidRPr="00475FD3" w:rsidRDefault="008400BD" w:rsidP="008400BD">
      <w:pPr>
        <w:numPr>
          <w:ilvl w:val="0"/>
          <w:numId w:val="1"/>
        </w:numPr>
        <w:suppressAutoHyphens w:val="0"/>
        <w:spacing w:after="202" w:line="266" w:lineRule="auto"/>
        <w:ind w:left="482" w:right="45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braku podstaw wykluczenia, </w:t>
      </w:r>
    </w:p>
    <w:p w14:paraId="71BDEF34" w14:textId="77777777" w:rsidR="008400BD" w:rsidRPr="00475FD3" w:rsidRDefault="008400BD" w:rsidP="008400BD">
      <w:pPr>
        <w:numPr>
          <w:ilvl w:val="0"/>
          <w:numId w:val="1"/>
        </w:numPr>
        <w:suppressAutoHyphens w:val="0"/>
        <w:spacing w:after="5" w:line="266" w:lineRule="auto"/>
        <w:ind w:left="482" w:right="45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jak też spełnianie kryteriów selekcji (obiektywne zasady i kryteria ustalone przez  zamawiającego na potrzeby ograniczenia liczby kwalifikujących się kandydatów) </w:t>
      </w:r>
    </w:p>
    <w:p w14:paraId="1E8EA0DE" w14:textId="77777777" w:rsidR="008400BD" w:rsidRPr="00475FD3" w:rsidRDefault="008400BD" w:rsidP="008400BD">
      <w:pPr>
        <w:suppressAutoHyphens w:val="0"/>
        <w:spacing w:after="13" w:line="259" w:lineRule="auto"/>
        <w:ind w:left="12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</w:t>
      </w:r>
    </w:p>
    <w:p w14:paraId="60BE2B9B" w14:textId="77777777" w:rsidR="008400BD" w:rsidRPr="00475FD3" w:rsidRDefault="008400BD" w:rsidP="008400BD">
      <w:pPr>
        <w:suppressAutoHyphens w:val="0"/>
        <w:spacing w:after="5" w:line="267" w:lineRule="auto"/>
        <w:ind w:left="7" w:right="48" w:hanging="10"/>
        <w:jc w:val="both"/>
        <w:rPr>
          <w:rFonts w:ascii="Cambria" w:eastAsia="Arial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jest </w:t>
      </w:r>
      <w:r w:rsidRPr="00475FD3">
        <w:rPr>
          <w:rFonts w:ascii="Cambria" w:eastAsia="Arial" w:hAnsi="Cambria"/>
          <w:b/>
          <w:color w:val="000000"/>
          <w:sz w:val="22"/>
          <w:szCs w:val="22"/>
          <w:lang w:eastAsia="pl-PL"/>
        </w:rPr>
        <w:t xml:space="preserve">oświadczenie własne Wykonawcy </w:t>
      </w: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zastępujące, na etapie postępowania o udzielenie zamówienia, dokumenty i zaświadczenia wydawane przez organy publiczne lub osoby trzecie. </w:t>
      </w:r>
    </w:p>
    <w:p w14:paraId="7A9BB3AB" w14:textId="77777777" w:rsidR="008400BD" w:rsidRPr="00475FD3" w:rsidRDefault="008400BD" w:rsidP="008400BD">
      <w:pPr>
        <w:suppressAutoHyphens w:val="0"/>
        <w:spacing w:after="5" w:line="267" w:lineRule="auto"/>
        <w:ind w:left="7" w:right="48" w:hanging="10"/>
        <w:jc w:val="both"/>
        <w:rPr>
          <w:rFonts w:ascii="Cambria" w:hAnsi="Cambria"/>
          <w:color w:val="000000"/>
          <w:sz w:val="22"/>
          <w:szCs w:val="22"/>
          <w:lang w:eastAsia="pl-PL"/>
        </w:rPr>
      </w:pPr>
    </w:p>
    <w:p w14:paraId="4248A992" w14:textId="77777777" w:rsidR="008400BD" w:rsidRPr="00475FD3" w:rsidRDefault="008400BD" w:rsidP="008400BD">
      <w:pPr>
        <w:keepNext/>
        <w:keepLines/>
        <w:suppressAutoHyphens w:val="0"/>
        <w:spacing w:line="259" w:lineRule="auto"/>
        <w:ind w:left="7" w:hanging="10"/>
        <w:jc w:val="both"/>
        <w:outlineLvl w:val="1"/>
        <w:rPr>
          <w:rFonts w:ascii="Cambria" w:eastAsia="Arial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b/>
          <w:color w:val="000000"/>
          <w:sz w:val="22"/>
          <w:szCs w:val="22"/>
          <w:lang w:eastAsia="pl-PL"/>
        </w:rPr>
        <w:t>II. Formularz Jednolitego Europejskiego Dokumentu Zamówienia</w:t>
      </w: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</w:t>
      </w:r>
    </w:p>
    <w:p w14:paraId="789E2904" w14:textId="77777777" w:rsidR="008400BD" w:rsidRPr="00475FD3" w:rsidRDefault="008400BD" w:rsidP="008400BD">
      <w:pPr>
        <w:suppressAutoHyphens w:val="0"/>
        <w:spacing w:line="259" w:lineRule="auto"/>
        <w:ind w:left="12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</w:t>
      </w:r>
    </w:p>
    <w:p w14:paraId="66987CA1" w14:textId="77777777" w:rsidR="008400BD" w:rsidRPr="00475FD3" w:rsidRDefault="008400BD" w:rsidP="008400BD">
      <w:pPr>
        <w:suppressAutoHyphens w:val="0"/>
        <w:spacing w:after="5" w:line="266" w:lineRule="auto"/>
        <w:ind w:left="5" w:right="363" w:hanging="11"/>
        <w:jc w:val="both"/>
        <w:rPr>
          <w:rFonts w:ascii="Cambria" w:eastAsia="Arial" w:hAnsi="Cambria"/>
          <w:b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Oświadczenie to zostało ustalone w drodze standardowego formularza jednolitego europejskiego dokumentu zamówienia </w:t>
      </w:r>
      <w:r w:rsidRPr="00475FD3">
        <w:rPr>
          <w:rFonts w:ascii="Cambria" w:eastAsia="Arial" w:hAnsi="Cambria"/>
          <w:b/>
          <w:color w:val="000000"/>
          <w:sz w:val="22"/>
          <w:szCs w:val="22"/>
          <w:lang w:eastAsia="pl-PL"/>
        </w:rPr>
        <w:t>(JEDZ)</w:t>
      </w: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, którego wzór określa rozporządzenie wykonawcze Komisji (UE) 2016/7 z dnia 5 stycznia 2016 r. (Dz. Urz. UE nr L 3 z 6.1.2016, str. 16), zwane dalej: „rozporządzeniem JEDZ”. Rozporządzenie to ma moc bezpośrednio obowiązującą w państwie członkowskim i weszło w życie z dniem </w:t>
      </w:r>
      <w:r w:rsidRPr="00475FD3">
        <w:rPr>
          <w:rFonts w:ascii="Cambria" w:eastAsia="Arial" w:hAnsi="Cambria"/>
          <w:b/>
          <w:color w:val="000000"/>
          <w:sz w:val="22"/>
          <w:szCs w:val="22"/>
          <w:lang w:eastAsia="pl-PL"/>
        </w:rPr>
        <w:t>18 kwietnia 2016 r.</w:t>
      </w:r>
    </w:p>
    <w:p w14:paraId="02F22833" w14:textId="77777777" w:rsidR="008400BD" w:rsidRPr="00475FD3" w:rsidRDefault="008400BD" w:rsidP="008400BD">
      <w:pPr>
        <w:suppressAutoHyphens w:val="0"/>
        <w:spacing w:after="5" w:line="267" w:lineRule="auto"/>
        <w:ind w:left="7" w:right="362" w:hanging="10"/>
        <w:jc w:val="both"/>
        <w:rPr>
          <w:rFonts w:ascii="Cambria" w:eastAsia="Arial" w:hAnsi="Cambria"/>
          <w:b/>
          <w:color w:val="000000"/>
          <w:sz w:val="22"/>
          <w:szCs w:val="22"/>
          <w:lang w:eastAsia="pl-PL"/>
        </w:rPr>
      </w:pPr>
    </w:p>
    <w:p w14:paraId="1EFCDBBC" w14:textId="77777777" w:rsidR="008400BD" w:rsidRPr="00475FD3" w:rsidRDefault="008400BD" w:rsidP="008400BD">
      <w:pPr>
        <w:suppressAutoHyphens w:val="0"/>
        <w:spacing w:after="5" w:line="267" w:lineRule="auto"/>
        <w:ind w:left="7" w:right="362" w:hanging="10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</w:t>
      </w:r>
      <w:r w:rsidRPr="00475FD3">
        <w:rPr>
          <w:rFonts w:ascii="Cambria" w:eastAsia="Arial" w:hAnsi="Cambria"/>
          <w:b/>
          <w:color w:val="000000"/>
          <w:sz w:val="22"/>
          <w:szCs w:val="22"/>
          <w:lang w:eastAsia="pl-PL"/>
        </w:rPr>
        <w:t>III. Podmioty składające JEDZ</w:t>
      </w: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</w:t>
      </w:r>
    </w:p>
    <w:p w14:paraId="65867F68" w14:textId="77777777" w:rsidR="008400BD" w:rsidRPr="00475FD3" w:rsidRDefault="008400BD" w:rsidP="008400BD">
      <w:pPr>
        <w:suppressAutoHyphens w:val="0"/>
        <w:spacing w:line="259" w:lineRule="auto"/>
        <w:ind w:left="12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</w:t>
      </w:r>
    </w:p>
    <w:p w14:paraId="73D2ADE4" w14:textId="77777777" w:rsidR="008400BD" w:rsidRPr="00475FD3" w:rsidRDefault="008400BD" w:rsidP="008400BD">
      <w:pPr>
        <w:suppressAutoHyphens w:val="0"/>
        <w:spacing w:after="196" w:line="267" w:lineRule="auto"/>
        <w:ind w:left="7" w:right="829" w:hanging="10"/>
        <w:jc w:val="both"/>
        <w:rPr>
          <w:rFonts w:ascii="Cambria" w:eastAsia="Arial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Regulacje dyrektyw, a w ślad za nimi nowelizacja ustawy </w:t>
      </w:r>
      <w:proofErr w:type="spellStart"/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>Pzp</w:t>
      </w:r>
      <w:proofErr w:type="spellEnd"/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, przewidują weryfikację podmiotową przy użyciu formularza JEDZ w odniesieniu do: </w:t>
      </w:r>
    </w:p>
    <w:p w14:paraId="7466005B" w14:textId="77777777" w:rsidR="008400BD" w:rsidRPr="00475FD3" w:rsidRDefault="008400BD" w:rsidP="008400BD">
      <w:pPr>
        <w:suppressAutoHyphens w:val="0"/>
        <w:spacing w:line="259" w:lineRule="auto"/>
        <w:ind w:left="12"/>
        <w:jc w:val="both"/>
        <w:rPr>
          <w:rFonts w:ascii="Cambria" w:hAnsi="Cambria"/>
          <w:color w:val="000000"/>
          <w:sz w:val="22"/>
          <w:szCs w:val="22"/>
          <w:lang w:eastAsia="pl-PL"/>
        </w:rPr>
      </w:pPr>
    </w:p>
    <w:p w14:paraId="08289F12" w14:textId="77777777" w:rsidR="008400BD" w:rsidRPr="00475FD3" w:rsidRDefault="008400BD" w:rsidP="008400BD">
      <w:pPr>
        <w:numPr>
          <w:ilvl w:val="0"/>
          <w:numId w:val="2"/>
        </w:numPr>
        <w:suppressAutoHyphens w:val="0"/>
        <w:spacing w:after="3" w:line="249" w:lineRule="auto"/>
        <w:ind w:right="37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Calibri" w:hAnsi="Cambria"/>
          <w:color w:val="000000"/>
          <w:sz w:val="22"/>
          <w:szCs w:val="22"/>
          <w:lang w:eastAsia="pl-PL"/>
        </w:rPr>
        <w:t xml:space="preserve">dyrektywa Parlamentu Europejskiego i Rady 2014/24/UE z dnia 26 lutego 2014 r. w sprawie zamówień publicznych, uchylająca dyrektywę 2004/18/WE (Dz. Urz. UE L 94 z 28.3.2014, str. 65) </w:t>
      </w:r>
    </w:p>
    <w:p w14:paraId="196B1A55" w14:textId="77777777" w:rsidR="008400BD" w:rsidRPr="00475FD3" w:rsidRDefault="008400BD" w:rsidP="008400BD">
      <w:pPr>
        <w:numPr>
          <w:ilvl w:val="0"/>
          <w:numId w:val="2"/>
        </w:numPr>
        <w:suppressAutoHyphens w:val="0"/>
        <w:spacing w:after="3" w:line="249" w:lineRule="auto"/>
        <w:ind w:right="37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Calibri" w:hAnsi="Cambria"/>
          <w:color w:val="000000"/>
          <w:sz w:val="22"/>
          <w:szCs w:val="22"/>
          <w:lang w:eastAsia="pl-PL"/>
        </w:rPr>
        <w:t xml:space="preserve">dyrektywa Parlamentu Europejskiego i Rady 2014/25/UE z dnia 26 lutego 2014 r. w sprawie udzielania zamówień przez podmioty działające w sektorach gospodarki wodnej, energetyki, transportu i usług pocztowych, uchylająca dyrektywę 2004/17/WE (Dz. Urz. UE L 94 z 28.3.2014, str. 243) </w:t>
      </w:r>
    </w:p>
    <w:p w14:paraId="3CDDE979" w14:textId="77777777" w:rsidR="008400BD" w:rsidRPr="00475FD3" w:rsidRDefault="008400BD" w:rsidP="008400BD">
      <w:pPr>
        <w:numPr>
          <w:ilvl w:val="0"/>
          <w:numId w:val="2"/>
        </w:numPr>
        <w:suppressAutoHyphens w:val="0"/>
        <w:spacing w:after="47" w:line="259" w:lineRule="auto"/>
        <w:ind w:right="37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Calibri" w:hAnsi="Cambria"/>
          <w:color w:val="000000"/>
          <w:sz w:val="22"/>
          <w:szCs w:val="22"/>
          <w:lang w:eastAsia="pl-PL"/>
        </w:rPr>
        <w:t xml:space="preserve">Progi określone w: </w:t>
      </w:r>
    </w:p>
    <w:p w14:paraId="2852A272" w14:textId="77777777" w:rsidR="008400BD" w:rsidRPr="00475FD3" w:rsidRDefault="008400BD" w:rsidP="008400BD">
      <w:pPr>
        <w:suppressAutoHyphens w:val="0"/>
        <w:spacing w:after="3" w:line="249" w:lineRule="auto"/>
        <w:ind w:left="-3" w:right="37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Calibri" w:hAnsi="Cambria"/>
          <w:color w:val="000000"/>
          <w:sz w:val="22"/>
          <w:szCs w:val="22"/>
          <w:lang w:eastAsia="pl-PL"/>
        </w:rPr>
        <w:t xml:space="preserve">- Rozporządzeniu delegowanym Komisji (UE) 2015/2170 z dnia 24 listopada 2015 r. zmieniającym dyrektywę Parlamentu Europejskiego i Rady 2014/24/UE w odniesieniu do progów obowiązujących w zakresie procedur udzielania zamówień </w:t>
      </w:r>
    </w:p>
    <w:p w14:paraId="052EC0F1" w14:textId="77777777" w:rsidR="008400BD" w:rsidRPr="00475FD3" w:rsidRDefault="008400BD" w:rsidP="008400BD">
      <w:pPr>
        <w:suppressAutoHyphens w:val="0"/>
        <w:spacing w:after="3" w:line="249" w:lineRule="auto"/>
        <w:ind w:right="37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hAnsi="Cambria"/>
          <w:noProof/>
          <w:color w:val="000000"/>
          <w:sz w:val="22"/>
          <w:szCs w:val="22"/>
          <w:lang w:eastAsia="pl-PL"/>
        </w:rPr>
        <w:lastRenderedPageBreak/>
        <w:t>-</w:t>
      </w:r>
      <w:r w:rsidRPr="00475FD3">
        <w:rPr>
          <w:rFonts w:ascii="Cambria" w:eastAsia="Calibri" w:hAnsi="Cambria"/>
          <w:color w:val="000000"/>
          <w:sz w:val="22"/>
          <w:szCs w:val="22"/>
          <w:lang w:eastAsia="pl-PL"/>
        </w:rPr>
        <w:t xml:space="preserve"> Rozporządzeniu delegowanym Komisji (UE) 2015/2171 z dnia 24 listopada 2015 r. zmieniającym dyrektywę Parlamentu Europejskiego i </w:t>
      </w:r>
    </w:p>
    <w:p w14:paraId="6DAC82A3" w14:textId="77777777" w:rsidR="008400BD" w:rsidRPr="00475FD3" w:rsidRDefault="008400BD" w:rsidP="008400BD">
      <w:pPr>
        <w:suppressAutoHyphens w:val="0"/>
        <w:spacing w:after="3" w:line="249" w:lineRule="auto"/>
        <w:ind w:left="7" w:right="37" w:hanging="10"/>
        <w:jc w:val="both"/>
        <w:rPr>
          <w:rFonts w:ascii="Cambria" w:eastAsia="Calibri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Calibri" w:hAnsi="Cambria"/>
          <w:color w:val="000000"/>
          <w:sz w:val="22"/>
          <w:szCs w:val="22"/>
          <w:lang w:eastAsia="pl-PL"/>
        </w:rPr>
        <w:t>Rady 2014/25/UE w odniesieniu do progów obowiązujących w zakresi</w:t>
      </w:r>
      <w:r>
        <w:rPr>
          <w:rFonts w:ascii="Cambria" w:eastAsia="Calibri" w:hAnsi="Cambria"/>
          <w:color w:val="000000"/>
          <w:sz w:val="22"/>
          <w:szCs w:val="22"/>
          <w:lang w:eastAsia="pl-PL"/>
        </w:rPr>
        <w:t xml:space="preserve">e procedur udzielania zamówień </w:t>
      </w:r>
    </w:p>
    <w:p w14:paraId="0E1CA40C" w14:textId="77777777" w:rsidR="008400BD" w:rsidRPr="00475FD3" w:rsidRDefault="008400BD" w:rsidP="008400BD">
      <w:pPr>
        <w:suppressAutoHyphens w:val="0"/>
        <w:spacing w:after="3" w:line="249" w:lineRule="auto"/>
        <w:ind w:left="7" w:right="37" w:hanging="10"/>
        <w:jc w:val="both"/>
        <w:rPr>
          <w:rFonts w:ascii="Cambria" w:hAnsi="Cambria"/>
          <w:color w:val="000000"/>
          <w:sz w:val="22"/>
          <w:szCs w:val="22"/>
          <w:lang w:eastAsia="pl-PL"/>
        </w:rPr>
      </w:pPr>
    </w:p>
    <w:p w14:paraId="7BCE2B82" w14:textId="77777777" w:rsidR="008400BD" w:rsidRPr="00475FD3" w:rsidRDefault="008400BD" w:rsidP="008400BD">
      <w:pPr>
        <w:suppressAutoHyphens w:val="0"/>
        <w:spacing w:after="196" w:line="267" w:lineRule="auto"/>
        <w:ind w:left="7" w:right="829" w:hanging="10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1) Wykonawców </w:t>
      </w:r>
    </w:p>
    <w:p w14:paraId="2F68218C" w14:textId="77777777" w:rsidR="008400BD" w:rsidRPr="00475FD3" w:rsidRDefault="008400BD" w:rsidP="008400BD">
      <w:pPr>
        <w:suppressAutoHyphens w:val="0"/>
        <w:spacing w:after="5" w:line="267" w:lineRule="auto"/>
        <w:ind w:left="7" w:right="48" w:hanging="10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- w przypadku Wykonawców wspólnie ubiegających się o udzielenie zamówienia formularz JEDZ składa każdy z wykonawców (w odniesieniu do warunków udziału w postępowaniu oraz kryteriów selekcji wypełniony w zakresie, w jakim wykonawca wykazuje ich spełnianie); </w:t>
      </w:r>
    </w:p>
    <w:p w14:paraId="48DBD37F" w14:textId="77777777" w:rsidR="008400BD" w:rsidRPr="00475FD3" w:rsidRDefault="008400BD" w:rsidP="008400BD">
      <w:pPr>
        <w:suppressAutoHyphens w:val="0"/>
        <w:spacing w:after="3" w:line="249" w:lineRule="auto"/>
        <w:ind w:right="37"/>
        <w:jc w:val="both"/>
        <w:rPr>
          <w:rFonts w:ascii="Cambria" w:hAnsi="Cambria"/>
          <w:color w:val="000000"/>
          <w:sz w:val="22"/>
          <w:szCs w:val="22"/>
          <w:lang w:eastAsia="pl-PL"/>
        </w:rPr>
      </w:pPr>
    </w:p>
    <w:p w14:paraId="344D8E99" w14:textId="77777777" w:rsidR="008400BD" w:rsidRPr="00475FD3" w:rsidRDefault="008400BD" w:rsidP="008400BD">
      <w:pPr>
        <w:suppressAutoHyphens w:val="0"/>
        <w:spacing w:after="199" w:line="267" w:lineRule="auto"/>
        <w:ind w:left="7" w:right="48" w:hanging="10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2) podmiotów trzecich </w:t>
      </w:r>
    </w:p>
    <w:p w14:paraId="1E6446CC" w14:textId="77777777" w:rsidR="008400BD" w:rsidRPr="00475FD3" w:rsidRDefault="008400BD" w:rsidP="008400BD">
      <w:pPr>
        <w:numPr>
          <w:ilvl w:val="0"/>
          <w:numId w:val="3"/>
        </w:numPr>
        <w:suppressAutoHyphens w:val="0"/>
        <w:spacing w:after="201" w:line="267" w:lineRule="auto"/>
        <w:ind w:right="48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JEDZ podmiotu trzeciego składa wykonawca, jeżeli powołuje się na jego zasoby w celu wykazania spełniania warunków udziału w postępowaniu lub kryteriów selekcji; </w:t>
      </w:r>
    </w:p>
    <w:p w14:paraId="07FCB0F7" w14:textId="77777777" w:rsidR="008400BD" w:rsidRPr="00475FD3" w:rsidRDefault="008400BD" w:rsidP="008400BD">
      <w:pPr>
        <w:numPr>
          <w:ilvl w:val="0"/>
          <w:numId w:val="3"/>
        </w:numPr>
        <w:suppressAutoHyphens w:val="0"/>
        <w:spacing w:after="203" w:line="267" w:lineRule="auto"/>
        <w:ind w:right="48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JEDZ powinien być wypełniony w zakresie, w jakim wykonawca korzysta z zasobów podmiotu trzeciego; </w:t>
      </w:r>
    </w:p>
    <w:p w14:paraId="041DB7B2" w14:textId="77777777" w:rsidR="008400BD" w:rsidRPr="00475FD3" w:rsidRDefault="008400BD" w:rsidP="008400BD">
      <w:pPr>
        <w:numPr>
          <w:ilvl w:val="0"/>
          <w:numId w:val="3"/>
        </w:numPr>
        <w:suppressAutoHyphens w:val="0"/>
        <w:spacing w:after="204" w:line="267" w:lineRule="auto"/>
        <w:ind w:right="48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JEDZ powinien dotyczyć także weryfikacji podstaw wykluczenia podmiotu trzeciego; </w:t>
      </w:r>
    </w:p>
    <w:p w14:paraId="031CD17A" w14:textId="77777777" w:rsidR="008400BD" w:rsidRPr="00475FD3" w:rsidRDefault="008400BD" w:rsidP="008400BD">
      <w:pPr>
        <w:numPr>
          <w:ilvl w:val="0"/>
          <w:numId w:val="3"/>
        </w:numPr>
        <w:suppressAutoHyphens w:val="0"/>
        <w:spacing w:after="201" w:line="267" w:lineRule="auto"/>
        <w:ind w:right="48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dotyczy zarówno sytuacji, gdy podmiot trzeci nie będzie podwykonawcą w trakcie realizacji zamówienia, jak i sytuacji gdy takim podwykonawcą będzie; </w:t>
      </w:r>
    </w:p>
    <w:p w14:paraId="039CF670" w14:textId="77777777" w:rsidR="008400BD" w:rsidRPr="00475FD3" w:rsidRDefault="008400BD" w:rsidP="008400BD">
      <w:pPr>
        <w:suppressAutoHyphens w:val="0"/>
        <w:spacing w:after="194" w:line="267" w:lineRule="auto"/>
        <w:ind w:left="7" w:right="48" w:hanging="10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3) podwykonawców </w:t>
      </w:r>
    </w:p>
    <w:p w14:paraId="37A6D43F" w14:textId="77777777" w:rsidR="008400BD" w:rsidRPr="00475FD3" w:rsidRDefault="008400BD" w:rsidP="008400BD">
      <w:pPr>
        <w:numPr>
          <w:ilvl w:val="0"/>
          <w:numId w:val="4"/>
        </w:numPr>
        <w:suppressAutoHyphens w:val="0"/>
        <w:spacing w:after="202" w:line="267" w:lineRule="auto"/>
        <w:ind w:right="48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dotyczy podwykonawców wskazanych przez wykonawcę, którym wykonawca zamierza powierzyć wykonanie części zamówienia; </w:t>
      </w:r>
    </w:p>
    <w:p w14:paraId="16295025" w14:textId="77777777" w:rsidR="008400BD" w:rsidRPr="00475FD3" w:rsidRDefault="008400BD" w:rsidP="008400BD">
      <w:pPr>
        <w:numPr>
          <w:ilvl w:val="0"/>
          <w:numId w:val="4"/>
        </w:numPr>
        <w:suppressAutoHyphens w:val="0"/>
        <w:spacing w:after="193" w:line="267" w:lineRule="auto"/>
        <w:ind w:right="48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JEDZ powinien dotyczyć weryfikacji podstaw wykluczenia, jeżeli takie badanie zamawiający przewidział w ramach konkretnego postępowania; </w:t>
      </w:r>
    </w:p>
    <w:p w14:paraId="49F448C6" w14:textId="77777777" w:rsidR="008400BD" w:rsidRPr="00475FD3" w:rsidRDefault="008400BD" w:rsidP="008400BD">
      <w:pPr>
        <w:numPr>
          <w:ilvl w:val="0"/>
          <w:numId w:val="4"/>
        </w:numPr>
        <w:suppressAutoHyphens w:val="0"/>
        <w:spacing w:after="5" w:line="267" w:lineRule="auto"/>
        <w:ind w:right="48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JEDZ podwykonawcy składa wykonawca, jeżeli zamawiający tego wymaga. </w:t>
      </w:r>
    </w:p>
    <w:p w14:paraId="3B98A9A6" w14:textId="77777777" w:rsidR="008400BD" w:rsidRPr="00475FD3" w:rsidRDefault="008400BD" w:rsidP="008400BD">
      <w:pPr>
        <w:suppressAutoHyphens w:val="0"/>
        <w:spacing w:after="14" w:line="259" w:lineRule="auto"/>
        <w:ind w:left="12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</w:t>
      </w:r>
    </w:p>
    <w:p w14:paraId="6AB11759" w14:textId="77777777" w:rsidR="008400BD" w:rsidRPr="00475FD3" w:rsidRDefault="008400BD" w:rsidP="008400BD">
      <w:pPr>
        <w:keepNext/>
        <w:keepLines/>
        <w:suppressAutoHyphens w:val="0"/>
        <w:spacing w:line="259" w:lineRule="auto"/>
        <w:ind w:left="7" w:hanging="10"/>
        <w:jc w:val="both"/>
        <w:outlineLvl w:val="1"/>
        <w:rPr>
          <w:rFonts w:ascii="Cambria" w:eastAsia="Arial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b/>
          <w:color w:val="000000"/>
          <w:sz w:val="22"/>
          <w:szCs w:val="22"/>
          <w:lang w:eastAsia="pl-PL"/>
        </w:rPr>
        <w:t>IV. Termin na złożenie JEDZ</w:t>
      </w: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</w:t>
      </w:r>
    </w:p>
    <w:p w14:paraId="26D9AD91" w14:textId="77777777" w:rsidR="008400BD" w:rsidRPr="00475FD3" w:rsidRDefault="008400BD" w:rsidP="008400BD">
      <w:pPr>
        <w:suppressAutoHyphens w:val="0"/>
        <w:spacing w:after="16" w:line="259" w:lineRule="auto"/>
        <w:ind w:left="12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</w:t>
      </w:r>
    </w:p>
    <w:p w14:paraId="07E44D4D" w14:textId="77777777" w:rsidR="008400BD" w:rsidRPr="00475FD3" w:rsidRDefault="008400BD" w:rsidP="008400BD">
      <w:pPr>
        <w:suppressAutoHyphens w:val="0"/>
        <w:spacing w:after="5" w:line="267" w:lineRule="auto"/>
        <w:ind w:left="7" w:right="48" w:hanging="10"/>
        <w:jc w:val="both"/>
        <w:rPr>
          <w:rFonts w:ascii="Cambria" w:eastAsia="Arial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 Wypełniony formularz JEDZ składa się: </w:t>
      </w:r>
    </w:p>
    <w:p w14:paraId="5C762A3C" w14:textId="77777777" w:rsidR="008400BD" w:rsidRPr="00475FD3" w:rsidRDefault="008400BD" w:rsidP="008400BD">
      <w:pPr>
        <w:suppressAutoHyphens w:val="0"/>
        <w:autoSpaceDE w:val="0"/>
        <w:autoSpaceDN w:val="0"/>
        <w:adjustRightInd w:val="0"/>
        <w:spacing w:after="5" w:line="264" w:lineRule="auto"/>
        <w:ind w:left="5" w:hanging="11"/>
        <w:jc w:val="both"/>
        <w:rPr>
          <w:rFonts w:ascii="Cambria" w:eastAsia="CIDFont+F4" w:hAnsi="Cambria" w:cs="CIDFont+F4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- </w:t>
      </w:r>
      <w:r w:rsidRPr="00475FD3">
        <w:rPr>
          <w:rFonts w:ascii="Cambria" w:eastAsia="CIDFont+F4" w:hAnsi="Cambria" w:cs="CIDFont+F4"/>
          <w:sz w:val="22"/>
          <w:szCs w:val="22"/>
          <w:lang w:eastAsia="pl-PL"/>
        </w:rPr>
        <w:t xml:space="preserve">w przetargu nieograniczonym – wraz z ofertą lub przed wyborem najkorzystniejszej oferty, jeżeli     w przypadku, o którym mowa w art. 139 ust. 1 ustawy </w:t>
      </w:r>
      <w:proofErr w:type="spellStart"/>
      <w:r w:rsidRPr="00475FD3">
        <w:rPr>
          <w:rFonts w:ascii="Cambria" w:eastAsia="CIDFont+F4" w:hAnsi="Cambria" w:cs="CIDFont+F4"/>
          <w:sz w:val="22"/>
          <w:szCs w:val="22"/>
          <w:lang w:eastAsia="pl-PL"/>
        </w:rPr>
        <w:t>Pzp</w:t>
      </w:r>
      <w:proofErr w:type="spellEnd"/>
      <w:r w:rsidRPr="00475FD3">
        <w:rPr>
          <w:rFonts w:ascii="Cambria" w:eastAsia="CIDFont+F4" w:hAnsi="Cambria" w:cs="CIDFont+F4"/>
          <w:sz w:val="22"/>
          <w:szCs w:val="22"/>
          <w:lang w:eastAsia="pl-PL"/>
        </w:rPr>
        <w:t>, zamawiający przewidział możliwość  żądania JEDZ wyłącznie od wykonawcy, którego oferta została najwyżej oceniona;</w:t>
      </w:r>
    </w:p>
    <w:p w14:paraId="3C3F2088" w14:textId="77777777" w:rsidR="008400BD" w:rsidRPr="00475FD3" w:rsidRDefault="008400BD" w:rsidP="008400BD">
      <w:pPr>
        <w:suppressAutoHyphens w:val="0"/>
        <w:autoSpaceDE w:val="0"/>
        <w:autoSpaceDN w:val="0"/>
        <w:adjustRightInd w:val="0"/>
        <w:spacing w:after="5" w:line="264" w:lineRule="auto"/>
        <w:ind w:left="5" w:hanging="11"/>
        <w:jc w:val="both"/>
        <w:rPr>
          <w:rFonts w:ascii="Cambria" w:eastAsia="CIDFont+F4" w:hAnsi="Cambria" w:cs="CIDFont+F4"/>
          <w:sz w:val="22"/>
          <w:szCs w:val="22"/>
          <w:lang w:eastAsia="pl-PL"/>
        </w:rPr>
      </w:pPr>
    </w:p>
    <w:p w14:paraId="5CCFC7FD" w14:textId="77777777" w:rsidR="008400BD" w:rsidRPr="00475FD3" w:rsidRDefault="008400BD" w:rsidP="008400BD">
      <w:pPr>
        <w:numPr>
          <w:ilvl w:val="0"/>
          <w:numId w:val="5"/>
        </w:numPr>
        <w:suppressAutoHyphens w:val="0"/>
        <w:spacing w:after="192" w:line="267" w:lineRule="auto"/>
        <w:ind w:right="48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w trybach jednoetapowych – wraz z ofertą; </w:t>
      </w:r>
    </w:p>
    <w:p w14:paraId="2A3812CC" w14:textId="77777777" w:rsidR="008400BD" w:rsidRPr="00475FD3" w:rsidRDefault="008400BD" w:rsidP="008400BD">
      <w:pPr>
        <w:numPr>
          <w:ilvl w:val="0"/>
          <w:numId w:val="5"/>
        </w:numPr>
        <w:suppressAutoHyphens w:val="0"/>
        <w:spacing w:after="187" w:line="267" w:lineRule="auto"/>
        <w:ind w:right="48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w trybach wieloetapowych – wraz z wnioskiem o dopuszczenie do udziału w postępowaniu, </w:t>
      </w:r>
    </w:p>
    <w:p w14:paraId="4435E670" w14:textId="77777777" w:rsidR="008400BD" w:rsidRPr="00475FD3" w:rsidRDefault="008400BD" w:rsidP="008400BD">
      <w:pPr>
        <w:numPr>
          <w:ilvl w:val="0"/>
          <w:numId w:val="5"/>
        </w:numPr>
        <w:suppressAutoHyphens w:val="0"/>
        <w:spacing w:after="5" w:line="267" w:lineRule="auto"/>
        <w:ind w:right="48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>w trybie zamówienia z wolnej ręki – przed zawarciem umowy</w:t>
      </w:r>
      <w:r w:rsidRPr="00475FD3">
        <w:rPr>
          <w:rFonts w:ascii="Cambria" w:eastAsia="Arial" w:hAnsi="Cambria"/>
          <w:color w:val="000000"/>
          <w:sz w:val="22"/>
          <w:szCs w:val="22"/>
          <w:vertAlign w:val="superscript"/>
          <w:lang w:eastAsia="pl-PL"/>
        </w:rPr>
        <w:t>5</w:t>
      </w: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. </w:t>
      </w:r>
    </w:p>
    <w:p w14:paraId="62D637B8" w14:textId="77777777" w:rsidR="008400BD" w:rsidRPr="00475FD3" w:rsidRDefault="008400BD" w:rsidP="008400BD">
      <w:pPr>
        <w:suppressAutoHyphens w:val="0"/>
        <w:spacing w:line="259" w:lineRule="auto"/>
        <w:ind w:left="137"/>
        <w:jc w:val="both"/>
        <w:rPr>
          <w:rFonts w:ascii="Cambria" w:eastAsia="Arial" w:hAnsi="Cambria"/>
          <w:color w:val="000000"/>
          <w:sz w:val="22"/>
          <w:szCs w:val="22"/>
          <w:lang w:eastAsia="pl-PL"/>
        </w:rPr>
      </w:pPr>
    </w:p>
    <w:p w14:paraId="4F24704D" w14:textId="77777777" w:rsidR="008400BD" w:rsidRPr="00475FD3" w:rsidRDefault="008400BD" w:rsidP="008400BD">
      <w:pPr>
        <w:suppressAutoHyphens w:val="0"/>
        <w:spacing w:line="259" w:lineRule="auto"/>
        <w:ind w:left="12"/>
        <w:jc w:val="both"/>
        <w:rPr>
          <w:rFonts w:ascii="Cambria" w:eastAsia="Arial" w:hAnsi="Cambria"/>
          <w:color w:val="000000"/>
          <w:sz w:val="22"/>
          <w:szCs w:val="22"/>
          <w:lang w:eastAsia="pl-PL"/>
        </w:rPr>
      </w:pPr>
    </w:p>
    <w:p w14:paraId="43F50760" w14:textId="77777777" w:rsidR="008400BD" w:rsidRPr="00475FD3" w:rsidRDefault="008400BD" w:rsidP="008400BD">
      <w:pPr>
        <w:suppressAutoHyphens w:val="0"/>
        <w:spacing w:line="259" w:lineRule="auto"/>
        <w:ind w:left="12"/>
        <w:jc w:val="both"/>
        <w:rPr>
          <w:rFonts w:ascii="Cambria" w:eastAsia="Arial" w:hAnsi="Cambria"/>
          <w:color w:val="000000"/>
          <w:sz w:val="22"/>
          <w:szCs w:val="22"/>
          <w:lang w:eastAsia="pl-PL"/>
        </w:rPr>
      </w:pPr>
    </w:p>
    <w:p w14:paraId="2A28B9B4" w14:textId="77777777" w:rsidR="008400BD" w:rsidRPr="00475FD3" w:rsidRDefault="008400BD" w:rsidP="008400BD">
      <w:pPr>
        <w:suppressAutoHyphens w:val="0"/>
        <w:spacing w:line="259" w:lineRule="auto"/>
        <w:ind w:left="12"/>
        <w:jc w:val="both"/>
        <w:rPr>
          <w:rFonts w:ascii="Cambria" w:eastAsia="Arial" w:hAnsi="Cambria"/>
          <w:color w:val="000000"/>
          <w:sz w:val="22"/>
          <w:szCs w:val="22"/>
          <w:lang w:eastAsia="pl-PL"/>
        </w:rPr>
      </w:pPr>
    </w:p>
    <w:p w14:paraId="77690155" w14:textId="77777777" w:rsidR="008400BD" w:rsidRPr="00475FD3" w:rsidRDefault="008400BD" w:rsidP="008400BD">
      <w:pPr>
        <w:suppressAutoHyphens w:val="0"/>
        <w:spacing w:line="259" w:lineRule="auto"/>
        <w:ind w:left="12"/>
        <w:jc w:val="both"/>
        <w:rPr>
          <w:rFonts w:ascii="Cambria" w:eastAsia="Arial" w:hAnsi="Cambria"/>
          <w:color w:val="000000"/>
          <w:sz w:val="22"/>
          <w:szCs w:val="22"/>
          <w:lang w:eastAsia="pl-PL"/>
        </w:rPr>
      </w:pPr>
    </w:p>
    <w:p w14:paraId="12651D02" w14:textId="77777777" w:rsidR="008400BD" w:rsidRPr="00475FD3" w:rsidRDefault="008400BD" w:rsidP="008400BD">
      <w:pPr>
        <w:suppressAutoHyphens w:val="0"/>
        <w:spacing w:line="259" w:lineRule="auto"/>
        <w:ind w:left="12"/>
        <w:jc w:val="both"/>
        <w:rPr>
          <w:rFonts w:ascii="Cambria" w:eastAsia="Arial" w:hAnsi="Cambria"/>
          <w:color w:val="000000"/>
          <w:sz w:val="22"/>
          <w:szCs w:val="22"/>
          <w:lang w:eastAsia="pl-PL"/>
        </w:rPr>
      </w:pPr>
    </w:p>
    <w:p w14:paraId="4C168468" w14:textId="77777777" w:rsidR="008400BD" w:rsidRPr="00475FD3" w:rsidRDefault="008400BD" w:rsidP="008400BD">
      <w:pPr>
        <w:suppressAutoHyphens w:val="0"/>
        <w:spacing w:line="259" w:lineRule="auto"/>
        <w:ind w:left="12"/>
        <w:jc w:val="both"/>
        <w:rPr>
          <w:rFonts w:ascii="Cambria" w:eastAsia="Arial" w:hAnsi="Cambria"/>
          <w:color w:val="000000"/>
          <w:sz w:val="22"/>
          <w:szCs w:val="22"/>
          <w:lang w:eastAsia="pl-PL"/>
        </w:rPr>
      </w:pPr>
    </w:p>
    <w:p w14:paraId="16E269D8" w14:textId="77777777" w:rsidR="008400BD" w:rsidRPr="00475FD3" w:rsidRDefault="008400BD" w:rsidP="008400BD">
      <w:pPr>
        <w:suppressAutoHyphens w:val="0"/>
        <w:autoSpaceDE w:val="0"/>
        <w:autoSpaceDN w:val="0"/>
        <w:adjustRightInd w:val="0"/>
        <w:rPr>
          <w:rFonts w:ascii="Cambria" w:hAnsi="Cambria" w:cs="CIDFont+F1"/>
          <w:sz w:val="22"/>
          <w:szCs w:val="22"/>
          <w:lang w:eastAsia="pl-PL"/>
        </w:rPr>
      </w:pPr>
      <w:r w:rsidRPr="00475FD3">
        <w:rPr>
          <w:rFonts w:ascii="Cambria" w:hAnsi="Cambria" w:cs="CIDFont+F1"/>
          <w:sz w:val="22"/>
          <w:szCs w:val="22"/>
          <w:lang w:eastAsia="pl-PL"/>
        </w:rPr>
        <w:t xml:space="preserve">5 chyba że zamawiający odstąpił od żądania złożenia przez wykonawcę tego oświadczenia na podstawie art. 217 ust. 3 ustawy </w:t>
      </w:r>
      <w:proofErr w:type="spellStart"/>
      <w:r w:rsidRPr="00475FD3">
        <w:rPr>
          <w:rFonts w:ascii="Cambria" w:hAnsi="Cambria" w:cs="CIDFont+F1"/>
          <w:sz w:val="22"/>
          <w:szCs w:val="22"/>
          <w:lang w:eastAsia="pl-PL"/>
        </w:rPr>
        <w:t>Pzp</w:t>
      </w:r>
      <w:proofErr w:type="spellEnd"/>
    </w:p>
    <w:p w14:paraId="070331B4" w14:textId="77777777" w:rsidR="008400BD" w:rsidRPr="00475FD3" w:rsidRDefault="008400BD" w:rsidP="008400BD">
      <w:pPr>
        <w:suppressAutoHyphens w:val="0"/>
        <w:spacing w:line="259" w:lineRule="auto"/>
        <w:ind w:left="12"/>
        <w:jc w:val="both"/>
        <w:rPr>
          <w:rFonts w:ascii="Cambria" w:hAnsi="Cambria"/>
          <w:color w:val="000000"/>
          <w:sz w:val="22"/>
          <w:szCs w:val="22"/>
          <w:lang w:eastAsia="pl-PL"/>
        </w:rPr>
      </w:pPr>
    </w:p>
    <w:p w14:paraId="20967CA4" w14:textId="77777777" w:rsidR="008400BD" w:rsidRPr="00475FD3" w:rsidRDefault="008400BD" w:rsidP="008400BD">
      <w:pPr>
        <w:keepNext/>
        <w:keepLines/>
        <w:suppressAutoHyphens w:val="0"/>
        <w:spacing w:line="259" w:lineRule="auto"/>
        <w:ind w:left="7" w:hanging="10"/>
        <w:jc w:val="both"/>
        <w:outlineLvl w:val="1"/>
        <w:rPr>
          <w:rFonts w:ascii="Cambria" w:eastAsia="Arial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b/>
          <w:color w:val="000000"/>
          <w:sz w:val="22"/>
          <w:szCs w:val="22"/>
          <w:lang w:eastAsia="pl-PL"/>
        </w:rPr>
        <w:t>V. Forma JEDZ</w:t>
      </w: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</w:t>
      </w:r>
    </w:p>
    <w:p w14:paraId="48386689" w14:textId="77777777" w:rsidR="008400BD" w:rsidRPr="00475FD3" w:rsidRDefault="008400BD" w:rsidP="008400BD">
      <w:pPr>
        <w:suppressAutoHyphens w:val="0"/>
        <w:spacing w:line="259" w:lineRule="auto"/>
        <w:ind w:left="12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</w:t>
      </w:r>
    </w:p>
    <w:p w14:paraId="36C27022" w14:textId="77777777" w:rsidR="008400BD" w:rsidRPr="00475FD3" w:rsidRDefault="008400BD" w:rsidP="008400BD">
      <w:pPr>
        <w:suppressAutoHyphens w:val="0"/>
        <w:autoSpaceDE w:val="0"/>
        <w:autoSpaceDN w:val="0"/>
        <w:adjustRightInd w:val="0"/>
        <w:spacing w:after="5" w:line="266" w:lineRule="auto"/>
        <w:ind w:left="5" w:hanging="11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  <w:r w:rsidRPr="00475FD3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W przypadku zamówień o wartości równej lub przekraczającej progi unijne wykonawcy zobowiązani są złożyć oświadczenie </w:t>
      </w:r>
      <w:r w:rsidRPr="00475FD3">
        <w:rPr>
          <w:rFonts w:ascii="Cambria" w:eastAsia="CIDFont+F4" w:hAnsi="Cambria" w:cs="CIDFont+F2"/>
          <w:color w:val="000000"/>
          <w:sz w:val="22"/>
          <w:szCs w:val="22"/>
          <w:lang w:eastAsia="pl-PL"/>
        </w:rPr>
        <w:t>na standardowym formularzu JEDZ</w:t>
      </w:r>
      <w:r w:rsidRPr="00475FD3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, pod rygorem</w:t>
      </w:r>
    </w:p>
    <w:p w14:paraId="5C54A470" w14:textId="77777777" w:rsidR="008400BD" w:rsidRPr="00475FD3" w:rsidRDefault="008400BD" w:rsidP="008400BD">
      <w:pPr>
        <w:suppressAutoHyphens w:val="0"/>
        <w:autoSpaceDE w:val="0"/>
        <w:autoSpaceDN w:val="0"/>
        <w:adjustRightInd w:val="0"/>
        <w:spacing w:after="5" w:line="266" w:lineRule="auto"/>
        <w:ind w:left="5" w:hanging="11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  <w:r w:rsidRPr="00475FD3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nieważności, w formie elektronicznej. </w:t>
      </w:r>
    </w:p>
    <w:p w14:paraId="36353F98" w14:textId="77777777" w:rsidR="008400BD" w:rsidRPr="00475FD3" w:rsidRDefault="008400BD" w:rsidP="008400BD">
      <w:pPr>
        <w:suppressAutoHyphens w:val="0"/>
        <w:autoSpaceDE w:val="0"/>
        <w:autoSpaceDN w:val="0"/>
        <w:adjustRightInd w:val="0"/>
        <w:spacing w:after="5" w:line="266" w:lineRule="auto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</w:p>
    <w:p w14:paraId="33D57B11" w14:textId="77777777" w:rsidR="008400BD" w:rsidRPr="00475FD3" w:rsidRDefault="008400BD" w:rsidP="008400BD">
      <w:pPr>
        <w:suppressAutoHyphens w:val="0"/>
        <w:autoSpaceDE w:val="0"/>
        <w:autoSpaceDN w:val="0"/>
        <w:adjustRightInd w:val="0"/>
        <w:spacing w:after="5" w:line="266" w:lineRule="auto"/>
        <w:ind w:left="5" w:hanging="11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  <w:r w:rsidRPr="00475FD3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Do zachowania formy elektronicznej wystarcza złożenie</w:t>
      </w:r>
    </w:p>
    <w:p w14:paraId="1FDF14A4" w14:textId="77777777" w:rsidR="008400BD" w:rsidRPr="00475FD3" w:rsidRDefault="008400BD" w:rsidP="008400BD">
      <w:pPr>
        <w:suppressAutoHyphens w:val="0"/>
        <w:autoSpaceDE w:val="0"/>
        <w:autoSpaceDN w:val="0"/>
        <w:adjustRightInd w:val="0"/>
        <w:spacing w:after="5" w:line="266" w:lineRule="auto"/>
        <w:ind w:left="5" w:hanging="11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  <w:r w:rsidRPr="00475FD3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JEDZ w postaci elektronicznej i opatrzenie go kwalifikowanym podpisem elektronicznym. </w:t>
      </w:r>
    </w:p>
    <w:p w14:paraId="4C27ACC5" w14:textId="77777777" w:rsidR="008400BD" w:rsidRPr="00475FD3" w:rsidRDefault="008400BD" w:rsidP="008400BD">
      <w:pPr>
        <w:suppressAutoHyphens w:val="0"/>
        <w:autoSpaceDE w:val="0"/>
        <w:autoSpaceDN w:val="0"/>
        <w:adjustRightInd w:val="0"/>
        <w:spacing w:after="5" w:line="266" w:lineRule="auto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</w:p>
    <w:p w14:paraId="291BEF90" w14:textId="77777777" w:rsidR="008400BD" w:rsidRPr="00475FD3" w:rsidRDefault="008400BD" w:rsidP="008400BD">
      <w:pPr>
        <w:suppressAutoHyphens w:val="0"/>
        <w:autoSpaceDE w:val="0"/>
        <w:autoSpaceDN w:val="0"/>
        <w:adjustRightInd w:val="0"/>
        <w:spacing w:after="5" w:line="266" w:lineRule="auto"/>
        <w:ind w:left="5" w:hanging="11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  <w:r w:rsidRPr="00475FD3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W przypadkach odstąpienia przez zamawiającego od wymagania użycia środków komunikacji</w:t>
      </w:r>
    </w:p>
    <w:p w14:paraId="2FC233AA" w14:textId="77777777" w:rsidR="008400BD" w:rsidRPr="00475FD3" w:rsidRDefault="008400BD" w:rsidP="008400BD">
      <w:pPr>
        <w:suppressAutoHyphens w:val="0"/>
        <w:autoSpaceDE w:val="0"/>
        <w:autoSpaceDN w:val="0"/>
        <w:adjustRightInd w:val="0"/>
        <w:spacing w:after="5" w:line="266" w:lineRule="auto"/>
        <w:ind w:left="5" w:hanging="11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  <w:r w:rsidRPr="00475FD3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elektronicznej w odniesieniu do JEDZ, dokument ten składa się zgodnie z wyborem</w:t>
      </w:r>
    </w:p>
    <w:p w14:paraId="4844DE1E" w14:textId="77777777" w:rsidR="008400BD" w:rsidRPr="00475FD3" w:rsidRDefault="008400BD" w:rsidP="008400BD">
      <w:pPr>
        <w:suppressAutoHyphens w:val="0"/>
        <w:autoSpaceDE w:val="0"/>
        <w:autoSpaceDN w:val="0"/>
        <w:adjustRightInd w:val="0"/>
        <w:spacing w:after="5" w:line="266" w:lineRule="auto"/>
        <w:ind w:left="5" w:hanging="11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  <w:r w:rsidRPr="00475FD3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zamawiającego, pod rygorem nieważności, w formie pisemnej lub elektronicznej (np. na płycie</w:t>
      </w:r>
    </w:p>
    <w:p w14:paraId="150A0B2E" w14:textId="77777777" w:rsidR="008400BD" w:rsidRPr="00475FD3" w:rsidRDefault="008400BD" w:rsidP="008400BD">
      <w:pPr>
        <w:suppressAutoHyphens w:val="0"/>
        <w:autoSpaceDE w:val="0"/>
        <w:autoSpaceDN w:val="0"/>
        <w:adjustRightInd w:val="0"/>
        <w:spacing w:after="5" w:line="266" w:lineRule="auto"/>
        <w:ind w:left="5" w:hanging="11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  <w:r w:rsidRPr="00475FD3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CD).</w:t>
      </w:r>
    </w:p>
    <w:p w14:paraId="3D5B94DD" w14:textId="77777777" w:rsidR="008400BD" w:rsidRPr="00475FD3" w:rsidRDefault="008400BD" w:rsidP="008400BD">
      <w:pPr>
        <w:suppressAutoHyphens w:val="0"/>
        <w:autoSpaceDE w:val="0"/>
        <w:autoSpaceDN w:val="0"/>
        <w:adjustRightInd w:val="0"/>
        <w:spacing w:after="5" w:line="266" w:lineRule="auto"/>
        <w:ind w:left="5" w:hanging="11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  <w:r w:rsidRPr="00475FD3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 xml:space="preserve">Pod adresem: </w:t>
      </w:r>
      <w:r w:rsidRPr="00475FD3">
        <w:rPr>
          <w:rFonts w:ascii="Cambria" w:eastAsia="CIDFont+F4" w:hAnsi="Cambria" w:cs="CIDFont+F4"/>
          <w:color w:val="0563C2"/>
          <w:sz w:val="22"/>
          <w:szCs w:val="22"/>
          <w:lang w:eastAsia="pl-PL"/>
        </w:rPr>
        <w:t xml:space="preserve">https://espd.uzp.gov.pl/ </w:t>
      </w:r>
      <w:r w:rsidRPr="00475FD3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dostępne jest elektroniczne narzędzie przygotowane</w:t>
      </w:r>
    </w:p>
    <w:p w14:paraId="7D6AC21D" w14:textId="77777777" w:rsidR="008400BD" w:rsidRPr="00475FD3" w:rsidRDefault="008400BD" w:rsidP="008400BD">
      <w:pPr>
        <w:suppressAutoHyphens w:val="0"/>
        <w:autoSpaceDE w:val="0"/>
        <w:autoSpaceDN w:val="0"/>
        <w:adjustRightInd w:val="0"/>
        <w:spacing w:after="5" w:line="266" w:lineRule="auto"/>
        <w:ind w:left="5" w:hanging="11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  <w:r w:rsidRPr="00475FD3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przez Urząd Zamówień Publicznych w oparciu o narzędzie opracowane przez KE, które może</w:t>
      </w:r>
    </w:p>
    <w:p w14:paraId="03A5DEF4" w14:textId="77777777" w:rsidR="008400BD" w:rsidRPr="00475FD3" w:rsidRDefault="008400BD" w:rsidP="008400BD">
      <w:pPr>
        <w:suppressAutoHyphens w:val="0"/>
        <w:spacing w:after="5" w:line="266" w:lineRule="auto"/>
        <w:ind w:left="5" w:hanging="11"/>
        <w:jc w:val="both"/>
        <w:rPr>
          <w:rFonts w:ascii="Cambria" w:eastAsia="CIDFont+F4" w:hAnsi="Cambria" w:cs="CIDFont+F4"/>
          <w:color w:val="000000"/>
          <w:sz w:val="22"/>
          <w:szCs w:val="22"/>
          <w:lang w:eastAsia="pl-PL"/>
        </w:rPr>
      </w:pPr>
      <w:r w:rsidRPr="00475FD3">
        <w:rPr>
          <w:rFonts w:ascii="Cambria" w:eastAsia="CIDFont+F4" w:hAnsi="Cambria" w:cs="CIDFont+F4"/>
          <w:color w:val="000000"/>
          <w:sz w:val="22"/>
          <w:szCs w:val="22"/>
          <w:lang w:eastAsia="pl-PL"/>
        </w:rPr>
        <w:t>być wykorzystane do realizacji obowiązku przekazywania JEDZ w formie elektronicznej.</w:t>
      </w:r>
    </w:p>
    <w:p w14:paraId="0D66F968" w14:textId="77777777" w:rsidR="008400BD" w:rsidRPr="00475FD3" w:rsidRDefault="008400BD" w:rsidP="008400BD">
      <w:pPr>
        <w:suppressAutoHyphens w:val="0"/>
        <w:spacing w:after="5" w:line="266" w:lineRule="auto"/>
        <w:ind w:left="5" w:hanging="11"/>
        <w:jc w:val="both"/>
        <w:rPr>
          <w:rFonts w:ascii="Cambria" w:hAnsi="Cambria"/>
          <w:color w:val="000000"/>
          <w:sz w:val="22"/>
          <w:szCs w:val="22"/>
          <w:lang w:eastAsia="pl-PL"/>
        </w:rPr>
      </w:pPr>
    </w:p>
    <w:p w14:paraId="427AB830" w14:textId="77777777" w:rsidR="008400BD" w:rsidRPr="00475FD3" w:rsidRDefault="008400BD" w:rsidP="008400BD">
      <w:pPr>
        <w:keepNext/>
        <w:keepLines/>
        <w:suppressAutoHyphens w:val="0"/>
        <w:spacing w:line="259" w:lineRule="auto"/>
        <w:ind w:left="7" w:hanging="10"/>
        <w:jc w:val="both"/>
        <w:outlineLvl w:val="1"/>
        <w:rPr>
          <w:rFonts w:ascii="Cambria" w:eastAsia="Arial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b/>
          <w:color w:val="000000"/>
          <w:sz w:val="22"/>
          <w:szCs w:val="22"/>
          <w:lang w:eastAsia="pl-PL"/>
        </w:rPr>
        <w:t>VI. Zawartość JEDZ</w:t>
      </w: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</w:t>
      </w:r>
    </w:p>
    <w:p w14:paraId="78F8E61F" w14:textId="77777777" w:rsidR="008400BD" w:rsidRPr="00475FD3" w:rsidRDefault="008400BD" w:rsidP="008400BD">
      <w:pPr>
        <w:suppressAutoHyphens w:val="0"/>
        <w:spacing w:after="19" w:line="259" w:lineRule="auto"/>
        <w:ind w:left="12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</w:t>
      </w:r>
    </w:p>
    <w:p w14:paraId="7FA1278C" w14:textId="77777777" w:rsidR="008400BD" w:rsidRPr="00475FD3" w:rsidRDefault="008400BD" w:rsidP="008400BD">
      <w:pPr>
        <w:suppressAutoHyphens w:val="0"/>
        <w:spacing w:after="206" w:line="267" w:lineRule="auto"/>
        <w:ind w:left="7" w:right="522" w:hanging="10"/>
        <w:jc w:val="both"/>
        <w:rPr>
          <w:rFonts w:ascii="Cambria" w:eastAsia="Arial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Zgodnie z dyrektywą JEDZ powinien zawierać co najmniej następujące informacje: </w:t>
      </w:r>
    </w:p>
    <w:p w14:paraId="64772277" w14:textId="77777777" w:rsidR="008400BD" w:rsidRPr="00475FD3" w:rsidRDefault="008400BD" w:rsidP="008400BD">
      <w:pPr>
        <w:suppressAutoHyphens w:val="0"/>
        <w:spacing w:after="206" w:line="267" w:lineRule="auto"/>
        <w:ind w:left="142" w:right="522" w:hanging="145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- oświadczenie wykonawcy, że w stosunku do niego nie zachodzą przesłanki (podstawy)   wykluczenia; </w:t>
      </w:r>
    </w:p>
    <w:p w14:paraId="49720BC4" w14:textId="77777777" w:rsidR="008400BD" w:rsidRPr="00475FD3" w:rsidRDefault="008400BD" w:rsidP="008400BD">
      <w:pPr>
        <w:numPr>
          <w:ilvl w:val="0"/>
          <w:numId w:val="6"/>
        </w:numPr>
        <w:suppressAutoHyphens w:val="0"/>
        <w:spacing w:after="5" w:line="267" w:lineRule="auto"/>
        <w:ind w:right="48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oświadczenie wykonawcy o spełnianiu przez niego warunków udziału w postępowaniu; </w:t>
      </w:r>
    </w:p>
    <w:p w14:paraId="373A448E" w14:textId="77777777" w:rsidR="008400BD" w:rsidRPr="00475FD3" w:rsidRDefault="008400BD" w:rsidP="008400BD">
      <w:pPr>
        <w:numPr>
          <w:ilvl w:val="0"/>
          <w:numId w:val="6"/>
        </w:numPr>
        <w:suppressAutoHyphens w:val="0"/>
        <w:spacing w:after="199" w:line="267" w:lineRule="auto"/>
        <w:ind w:right="48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>oświadczenie wykonawcy o spełnianiu przez niego kryteriów selekcji służących do ograniczenia liczby wykonawców dopuszczonych do udziału w postępowaniu;</w:t>
      </w:r>
    </w:p>
    <w:p w14:paraId="5164DA12" w14:textId="77777777" w:rsidR="008400BD" w:rsidRPr="00475FD3" w:rsidRDefault="008400BD" w:rsidP="008400BD">
      <w:pPr>
        <w:numPr>
          <w:ilvl w:val="0"/>
          <w:numId w:val="6"/>
        </w:numPr>
        <w:suppressAutoHyphens w:val="0"/>
        <w:spacing w:after="199" w:line="267" w:lineRule="auto"/>
        <w:ind w:right="48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określenie organu publicznego lub osoby trzeciej odpowiedzialnych za wystawienie dokumentów potwierdzających brak podstaw do wykluczenia oraz w stosownych przypadkach spełnianie warunków udziału w postępowaniu i kryteriów selekcji; </w:t>
      </w:r>
    </w:p>
    <w:p w14:paraId="250EC041" w14:textId="77777777" w:rsidR="008400BD" w:rsidRPr="00475FD3" w:rsidRDefault="008400BD" w:rsidP="008400BD">
      <w:pPr>
        <w:numPr>
          <w:ilvl w:val="0"/>
          <w:numId w:val="6"/>
        </w:numPr>
        <w:suppressAutoHyphens w:val="0"/>
        <w:spacing w:after="204" w:line="267" w:lineRule="auto"/>
        <w:ind w:right="48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formalne oświadczenie wykonawcy, z którego wynika, że wykonawca będzie w stanie na żądanie i bez zwłoki przedstawić dokumenty potwierdzające brak podstaw do wykluczenia oraz spełnianie warunków udziału w postępowaniu i kryteriów selekcji; </w:t>
      </w:r>
    </w:p>
    <w:p w14:paraId="41F23DAD" w14:textId="77777777" w:rsidR="008400BD" w:rsidRPr="00475FD3" w:rsidRDefault="008400BD" w:rsidP="008400BD">
      <w:pPr>
        <w:numPr>
          <w:ilvl w:val="0"/>
          <w:numId w:val="6"/>
        </w:numPr>
        <w:suppressAutoHyphens w:val="0"/>
        <w:spacing w:after="5" w:line="267" w:lineRule="auto"/>
        <w:ind w:right="48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informacje niezbędne w celu uzyskania przez zamawiającego dokumentów potwierdzających bezpośrednio za pomocą bazy danych (na warunkach określonych w art. 59 ust. 5 dyrektywy). </w:t>
      </w:r>
    </w:p>
    <w:p w14:paraId="0534FB4E" w14:textId="77777777" w:rsidR="008400BD" w:rsidRPr="00475FD3" w:rsidRDefault="008400BD" w:rsidP="008400BD">
      <w:pPr>
        <w:suppressAutoHyphens w:val="0"/>
        <w:spacing w:after="19" w:line="259" w:lineRule="auto"/>
        <w:jc w:val="both"/>
        <w:rPr>
          <w:rFonts w:ascii="Cambria" w:hAnsi="Cambria"/>
          <w:color w:val="000000"/>
          <w:sz w:val="22"/>
          <w:szCs w:val="22"/>
          <w:lang w:eastAsia="pl-PL"/>
        </w:rPr>
      </w:pPr>
    </w:p>
    <w:p w14:paraId="5C999090" w14:textId="77777777" w:rsidR="008400BD" w:rsidRPr="00475FD3" w:rsidRDefault="008400BD" w:rsidP="008400BD">
      <w:pPr>
        <w:suppressAutoHyphens w:val="0"/>
        <w:spacing w:after="5" w:line="267" w:lineRule="auto"/>
        <w:ind w:left="7" w:right="1999" w:hanging="10"/>
        <w:jc w:val="both"/>
        <w:rPr>
          <w:rFonts w:ascii="Cambria" w:eastAsia="Arial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Formularz JEDZ składa się z sześciu części: </w:t>
      </w:r>
    </w:p>
    <w:p w14:paraId="0A4BCB1E" w14:textId="77777777" w:rsidR="008400BD" w:rsidRPr="00475FD3" w:rsidRDefault="008400BD" w:rsidP="008400BD">
      <w:pPr>
        <w:suppressAutoHyphens w:val="0"/>
        <w:spacing w:after="5" w:line="267" w:lineRule="auto"/>
        <w:ind w:left="7" w:right="1999" w:hanging="10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część I. identyfikacja postępowania o udzielenie zamówienia publicznego </w:t>
      </w:r>
    </w:p>
    <w:p w14:paraId="18BBF978" w14:textId="77777777" w:rsidR="008400BD" w:rsidRPr="00475FD3" w:rsidRDefault="008400BD" w:rsidP="008400BD">
      <w:pPr>
        <w:suppressAutoHyphens w:val="0"/>
        <w:spacing w:after="16" w:line="259" w:lineRule="auto"/>
        <w:ind w:left="12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</w:t>
      </w:r>
    </w:p>
    <w:p w14:paraId="7E5E3393" w14:textId="77777777" w:rsidR="008400BD" w:rsidRPr="00475FD3" w:rsidRDefault="008400BD" w:rsidP="008400BD">
      <w:pPr>
        <w:numPr>
          <w:ilvl w:val="0"/>
          <w:numId w:val="7"/>
        </w:numPr>
        <w:suppressAutoHyphens w:val="0"/>
        <w:spacing w:after="5" w:line="267" w:lineRule="auto"/>
        <w:ind w:right="48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wypełniana przez Zamawiającego lub Wykonawcę </w:t>
      </w:r>
    </w:p>
    <w:p w14:paraId="7EED9D70" w14:textId="77777777" w:rsidR="008400BD" w:rsidRPr="00475FD3" w:rsidRDefault="008400BD" w:rsidP="008400BD">
      <w:pPr>
        <w:suppressAutoHyphens w:val="0"/>
        <w:spacing w:line="259" w:lineRule="auto"/>
        <w:ind w:left="12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</w:t>
      </w:r>
    </w:p>
    <w:p w14:paraId="7CBDC872" w14:textId="77777777" w:rsidR="008400BD" w:rsidRPr="00475FD3" w:rsidRDefault="008400BD" w:rsidP="008400BD">
      <w:pPr>
        <w:suppressAutoHyphens w:val="0"/>
        <w:spacing w:after="5" w:line="267" w:lineRule="auto"/>
        <w:ind w:left="7" w:right="48" w:hanging="10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lastRenderedPageBreak/>
        <w:t xml:space="preserve">oraz </w:t>
      </w:r>
    </w:p>
    <w:p w14:paraId="17BFB9DF" w14:textId="77777777" w:rsidR="008400BD" w:rsidRPr="00475FD3" w:rsidRDefault="008400BD" w:rsidP="008400BD">
      <w:pPr>
        <w:suppressAutoHyphens w:val="0"/>
        <w:spacing w:after="19" w:line="259" w:lineRule="auto"/>
        <w:ind w:left="12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</w:t>
      </w:r>
    </w:p>
    <w:p w14:paraId="314A6E9D" w14:textId="77777777" w:rsidR="008400BD" w:rsidRPr="00475FD3" w:rsidRDefault="008400BD" w:rsidP="008400BD">
      <w:pPr>
        <w:suppressAutoHyphens w:val="0"/>
        <w:spacing w:after="5" w:line="458" w:lineRule="auto"/>
        <w:ind w:left="7" w:right="5023" w:hanging="10"/>
        <w:jc w:val="both"/>
        <w:rPr>
          <w:rFonts w:ascii="Cambria" w:eastAsia="Arial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część II. identyfikacja Wykonawcy </w:t>
      </w:r>
    </w:p>
    <w:p w14:paraId="0F824545" w14:textId="77777777" w:rsidR="008400BD" w:rsidRPr="00475FD3" w:rsidRDefault="008400BD" w:rsidP="008400BD">
      <w:pPr>
        <w:suppressAutoHyphens w:val="0"/>
        <w:spacing w:after="5" w:line="458" w:lineRule="auto"/>
        <w:ind w:left="7" w:right="5023" w:hanging="10"/>
        <w:jc w:val="both"/>
        <w:rPr>
          <w:rFonts w:ascii="Cambria" w:eastAsia="Arial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część III. przesłanki wykluczenia </w:t>
      </w:r>
    </w:p>
    <w:p w14:paraId="13A81F71" w14:textId="77777777" w:rsidR="008400BD" w:rsidRPr="00475FD3" w:rsidRDefault="008400BD" w:rsidP="008400BD">
      <w:pPr>
        <w:suppressAutoHyphens w:val="0"/>
        <w:spacing w:after="5" w:line="458" w:lineRule="auto"/>
        <w:ind w:left="7" w:right="5023" w:hanging="10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część IV. warunki udziału w postępowaniu część V. kryteria selekcji </w:t>
      </w:r>
    </w:p>
    <w:p w14:paraId="33CAEE72" w14:textId="77777777" w:rsidR="008400BD" w:rsidRPr="00475FD3" w:rsidRDefault="008400BD" w:rsidP="008400BD">
      <w:pPr>
        <w:suppressAutoHyphens w:val="0"/>
        <w:spacing w:after="5" w:line="267" w:lineRule="auto"/>
        <w:ind w:left="7" w:right="48" w:hanging="10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część VI. podpis(y) </w:t>
      </w:r>
    </w:p>
    <w:p w14:paraId="0B2A4E54" w14:textId="77777777" w:rsidR="008400BD" w:rsidRPr="00475FD3" w:rsidRDefault="008400BD" w:rsidP="008400BD">
      <w:pPr>
        <w:suppressAutoHyphens w:val="0"/>
        <w:spacing w:after="15" w:line="259" w:lineRule="auto"/>
        <w:ind w:left="12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</w:t>
      </w:r>
    </w:p>
    <w:p w14:paraId="710BA7DB" w14:textId="77777777" w:rsidR="008400BD" w:rsidRPr="00475FD3" w:rsidRDefault="008400BD" w:rsidP="008400BD">
      <w:pPr>
        <w:numPr>
          <w:ilvl w:val="0"/>
          <w:numId w:val="7"/>
        </w:numPr>
        <w:suppressAutoHyphens w:val="0"/>
        <w:spacing w:after="5" w:line="267" w:lineRule="auto"/>
        <w:ind w:right="48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wypełnianych przez wykonawcę. </w:t>
      </w:r>
    </w:p>
    <w:p w14:paraId="6733775D" w14:textId="77777777" w:rsidR="008400BD" w:rsidRPr="00475FD3" w:rsidRDefault="008400BD" w:rsidP="008400BD">
      <w:pPr>
        <w:suppressAutoHyphens w:val="0"/>
        <w:spacing w:after="5" w:line="267" w:lineRule="auto"/>
        <w:ind w:left="7" w:right="48" w:hanging="10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Szczegółowe wskazówki dotyczące sposobu wypełniania standardowego formularza JEDZ znajdują się w trzeciej kolumnie załączonej tabeli. </w:t>
      </w:r>
    </w:p>
    <w:p w14:paraId="3C771FE6" w14:textId="77777777" w:rsidR="008400BD" w:rsidRPr="00475FD3" w:rsidRDefault="008400BD" w:rsidP="008400BD">
      <w:pPr>
        <w:suppressAutoHyphens w:val="0"/>
        <w:spacing w:after="9" w:line="259" w:lineRule="auto"/>
        <w:ind w:left="12"/>
        <w:jc w:val="both"/>
        <w:rPr>
          <w:rFonts w:ascii="Cambria" w:eastAsia="Arial" w:hAnsi="Cambria"/>
          <w:b/>
          <w:i/>
          <w:color w:val="000000"/>
          <w:sz w:val="22"/>
          <w:szCs w:val="22"/>
          <w:lang w:eastAsia="pl-PL"/>
        </w:rPr>
      </w:pPr>
      <w:r w:rsidRPr="00475FD3">
        <w:rPr>
          <w:rFonts w:ascii="Cambria" w:eastAsia="Arial" w:hAnsi="Cambria"/>
          <w:color w:val="000000"/>
          <w:sz w:val="22"/>
          <w:szCs w:val="22"/>
          <w:lang w:eastAsia="pl-PL"/>
        </w:rPr>
        <w:t xml:space="preserve"> </w:t>
      </w:r>
    </w:p>
    <w:p w14:paraId="410F90B9" w14:textId="77777777" w:rsidR="008400BD" w:rsidRPr="00475FD3" w:rsidRDefault="008400BD" w:rsidP="008400BD">
      <w:pPr>
        <w:suppressAutoHyphens w:val="0"/>
        <w:spacing w:after="9" w:line="259" w:lineRule="auto"/>
        <w:ind w:left="12"/>
        <w:jc w:val="both"/>
        <w:rPr>
          <w:rFonts w:ascii="Cambria" w:eastAsia="Arial" w:hAnsi="Cambria"/>
          <w:b/>
          <w:i/>
          <w:color w:val="000000"/>
          <w:sz w:val="22"/>
          <w:szCs w:val="22"/>
          <w:lang w:eastAsia="pl-PL"/>
        </w:rPr>
      </w:pPr>
    </w:p>
    <w:p w14:paraId="0D2FDEB4" w14:textId="77777777" w:rsidR="008400BD" w:rsidRPr="00475FD3" w:rsidRDefault="008400BD" w:rsidP="008400BD">
      <w:pPr>
        <w:suppressAutoHyphens w:val="0"/>
        <w:autoSpaceDE w:val="0"/>
        <w:autoSpaceDN w:val="0"/>
        <w:adjustRightInd w:val="0"/>
        <w:spacing w:after="5" w:line="266" w:lineRule="auto"/>
        <w:ind w:left="-11" w:firstLine="11"/>
        <w:rPr>
          <w:rFonts w:ascii="Cambria" w:hAnsi="Cambria" w:cs="CIDFont+F2"/>
          <w:sz w:val="22"/>
          <w:szCs w:val="22"/>
          <w:lang w:eastAsia="pl-PL"/>
        </w:rPr>
      </w:pPr>
      <w:r w:rsidRPr="00475FD3">
        <w:rPr>
          <w:rFonts w:ascii="Cambria" w:hAnsi="Cambria" w:cs="CIDFont+F3"/>
          <w:sz w:val="22"/>
          <w:szCs w:val="22"/>
          <w:lang w:eastAsia="pl-PL"/>
        </w:rPr>
        <w:t xml:space="preserve">UWAGA: </w:t>
      </w:r>
      <w:r w:rsidRPr="00475FD3">
        <w:rPr>
          <w:rFonts w:ascii="Cambria" w:hAnsi="Cambria" w:cs="CIDFont+F2"/>
          <w:sz w:val="22"/>
          <w:szCs w:val="22"/>
          <w:lang w:eastAsia="pl-PL"/>
        </w:rPr>
        <w:t xml:space="preserve">Oświadczenie w postępowaniach o wartości poniżej progów UE </w:t>
      </w:r>
      <w:r w:rsidRPr="00475FD3">
        <w:rPr>
          <w:rFonts w:ascii="Cambria" w:eastAsia="CIDFont+F4" w:hAnsi="Cambria" w:cs="CIDFont+F4"/>
          <w:sz w:val="22"/>
          <w:szCs w:val="22"/>
          <w:lang w:eastAsia="pl-PL"/>
        </w:rPr>
        <w:t>W przypadku postępowań o udzielenie zamówienia publicznego, których wartość nie przekracza równowartości progów UE, nie ma obowiązku wymagania/przedkładania</w:t>
      </w:r>
      <w:r w:rsidRPr="00475FD3">
        <w:rPr>
          <w:rFonts w:ascii="Cambria" w:hAnsi="Cambria" w:cs="CIDFont+F2"/>
          <w:sz w:val="22"/>
          <w:szCs w:val="22"/>
          <w:lang w:eastAsia="pl-PL"/>
        </w:rPr>
        <w:t xml:space="preserve"> </w:t>
      </w:r>
      <w:r w:rsidRPr="00475FD3">
        <w:rPr>
          <w:rFonts w:ascii="Cambria" w:eastAsia="CIDFont+F4" w:hAnsi="Cambria" w:cs="CIDFont+F4"/>
          <w:sz w:val="22"/>
          <w:szCs w:val="22"/>
          <w:lang w:eastAsia="pl-PL"/>
        </w:rPr>
        <w:t>oświadczenia o spełnianiu warunków udziału w postępowaniu oraz braku podstaw do</w:t>
      </w:r>
      <w:r w:rsidRPr="00475FD3">
        <w:rPr>
          <w:rFonts w:ascii="Cambria" w:hAnsi="Cambria" w:cs="CIDFont+F2"/>
          <w:sz w:val="22"/>
          <w:szCs w:val="22"/>
          <w:lang w:eastAsia="pl-PL"/>
        </w:rPr>
        <w:t xml:space="preserve"> </w:t>
      </w:r>
      <w:r w:rsidRPr="00475FD3">
        <w:rPr>
          <w:rFonts w:ascii="Cambria" w:eastAsia="CIDFont+F4" w:hAnsi="Cambria" w:cs="CIDFont+F4"/>
          <w:sz w:val="22"/>
          <w:szCs w:val="22"/>
          <w:lang w:eastAsia="pl-PL"/>
        </w:rPr>
        <w:t>wykluczenia z postępowania, czy też spełnianiu kryteriów selekcji, na standardowym formularzu JEDZ, ustanowionym rozporządzeniem KE, przywołanym w pkt II.</w:t>
      </w:r>
    </w:p>
    <w:p w14:paraId="569BEE8C" w14:textId="77777777" w:rsidR="00812456" w:rsidRDefault="00812456"/>
    <w:sectPr w:rsidR="00812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4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0036"/>
    <w:multiLevelType w:val="hybridMultilevel"/>
    <w:tmpl w:val="94A887B2"/>
    <w:lvl w:ilvl="0" w:tplc="5B380086">
      <w:start w:val="1"/>
      <w:numFmt w:val="bullet"/>
      <w:lvlText w:val="–"/>
      <w:lvlJc w:val="left"/>
      <w:pPr>
        <w:ind w:left="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368FF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C2F51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7E1B1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8EA2E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8A0ED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0E56E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6554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E6B9E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1E2A60"/>
    <w:multiLevelType w:val="hybridMultilevel"/>
    <w:tmpl w:val="AC2A605A"/>
    <w:lvl w:ilvl="0" w:tplc="EC341E08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7A8D5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102D1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28DB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C4219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36A98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68C4A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90FD6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28FE1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926CEC"/>
    <w:multiLevelType w:val="hybridMultilevel"/>
    <w:tmpl w:val="B0C86592"/>
    <w:lvl w:ilvl="0" w:tplc="FDB01772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C232B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C23F8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9CC2B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3AF0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C6D97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04EC4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F075F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B2A63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8307BCC"/>
    <w:multiLevelType w:val="hybridMultilevel"/>
    <w:tmpl w:val="36EA1128"/>
    <w:lvl w:ilvl="0" w:tplc="98D24332">
      <w:start w:val="1"/>
      <w:numFmt w:val="decimal"/>
      <w:lvlText w:val="%1"/>
      <w:lvlJc w:val="left"/>
      <w:pPr>
        <w:ind w:left="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4270474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7756ADD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500080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91D4E2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2344373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C4160F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0BC4AB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C9A8BFF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B77AC2"/>
    <w:multiLevelType w:val="hybridMultilevel"/>
    <w:tmpl w:val="8D8A79E0"/>
    <w:lvl w:ilvl="0" w:tplc="FBE0832E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8F39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3C8A9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0E8F3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EA520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CA2C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601E7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2E40E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52EFE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7EB3524"/>
    <w:multiLevelType w:val="hybridMultilevel"/>
    <w:tmpl w:val="D3D88AE2"/>
    <w:lvl w:ilvl="0" w:tplc="A06A924A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F8934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9465C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D410A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B4B5A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584F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0A50E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86AFE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E6B8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96C4610"/>
    <w:multiLevelType w:val="hybridMultilevel"/>
    <w:tmpl w:val="5FEC71E6"/>
    <w:lvl w:ilvl="0" w:tplc="FBF447A2">
      <w:start w:val="1"/>
      <w:numFmt w:val="decimal"/>
      <w:lvlText w:val="%1)"/>
      <w:lvlJc w:val="left"/>
      <w:pPr>
        <w:ind w:left="257"/>
      </w:pPr>
      <w:rPr>
        <w:rFonts w:ascii="Cambria" w:eastAsia="CIDFont+F4" w:hAnsi="Cambria" w:cs="CIDFont+F4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9C6AD2">
      <w:start w:val="1"/>
      <w:numFmt w:val="lowerLetter"/>
      <w:lvlText w:val="%2"/>
      <w:lvlJc w:val="left"/>
      <w:pPr>
        <w:ind w:left="1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74E9C0">
      <w:start w:val="1"/>
      <w:numFmt w:val="lowerRoman"/>
      <w:lvlText w:val="%3"/>
      <w:lvlJc w:val="left"/>
      <w:pPr>
        <w:ind w:left="2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9A9DAA">
      <w:start w:val="1"/>
      <w:numFmt w:val="decimal"/>
      <w:lvlText w:val="%4"/>
      <w:lvlJc w:val="left"/>
      <w:pPr>
        <w:ind w:left="2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6C1BD8">
      <w:start w:val="1"/>
      <w:numFmt w:val="lowerLetter"/>
      <w:lvlText w:val="%5"/>
      <w:lvlJc w:val="left"/>
      <w:pPr>
        <w:ind w:left="3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3C4C66">
      <w:start w:val="1"/>
      <w:numFmt w:val="lowerRoman"/>
      <w:lvlText w:val="%6"/>
      <w:lvlJc w:val="left"/>
      <w:pPr>
        <w:ind w:left="4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82F0B8">
      <w:start w:val="1"/>
      <w:numFmt w:val="decimal"/>
      <w:lvlText w:val="%7"/>
      <w:lvlJc w:val="left"/>
      <w:pPr>
        <w:ind w:left="4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24C4AA">
      <w:start w:val="1"/>
      <w:numFmt w:val="lowerLetter"/>
      <w:lvlText w:val="%8"/>
      <w:lvlJc w:val="left"/>
      <w:pPr>
        <w:ind w:left="5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42EA2C">
      <w:start w:val="1"/>
      <w:numFmt w:val="lowerRoman"/>
      <w:lvlText w:val="%9"/>
      <w:lvlJc w:val="left"/>
      <w:pPr>
        <w:ind w:left="6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0BD"/>
    <w:rsid w:val="00812456"/>
    <w:rsid w:val="0084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07D93"/>
  <w15:chartTrackingRefBased/>
  <w15:docId w15:val="{804097C0-7BBF-424B-B791-46A5A8AC6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0B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1065</Words>
  <Characters>6393</Characters>
  <Application>Microsoft Office Word</Application>
  <DocSecurity>0</DocSecurity>
  <Lines>53</Lines>
  <Paragraphs>14</Paragraphs>
  <ScaleCrop>false</ScaleCrop>
  <Company>ZTiSLP</Company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Kowalik</dc:creator>
  <cp:keywords/>
  <dc:description/>
  <cp:lastModifiedBy>Paweł Kowalik</cp:lastModifiedBy>
  <cp:revision>1</cp:revision>
  <dcterms:created xsi:type="dcterms:W3CDTF">2024-06-28T10:51:00Z</dcterms:created>
  <dcterms:modified xsi:type="dcterms:W3CDTF">2024-06-28T10:52:00Z</dcterms:modified>
</cp:coreProperties>
</file>