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7D" w:rsidRPr="005E66D9" w:rsidRDefault="009F2A7D" w:rsidP="005E66D9">
      <w:pPr>
        <w:spacing w:after="0"/>
        <w:rPr>
          <w:rFonts w:cs="Calibri"/>
          <w:bCs/>
          <w:i/>
          <w:sz w:val="24"/>
          <w:szCs w:val="24"/>
          <w:lang w:eastAsia="pl-PL"/>
        </w:rPr>
      </w:pPr>
      <w:r w:rsidRPr="005E66D9">
        <w:rPr>
          <w:rFonts w:cs="Calibri"/>
          <w:bCs/>
          <w:i/>
          <w:sz w:val="24"/>
          <w:szCs w:val="24"/>
          <w:lang w:eastAsia="pl-PL"/>
        </w:rPr>
        <w:t>Załącznik nr 4 do zapytania ofertowego</w:t>
      </w:r>
    </w:p>
    <w:p w:rsidR="009F2A7D" w:rsidRPr="005E66D9" w:rsidRDefault="009F2A7D" w:rsidP="005E66D9">
      <w:pPr>
        <w:spacing w:after="0"/>
        <w:rPr>
          <w:rFonts w:cs="Calibri"/>
          <w:bCs/>
          <w:i/>
          <w:sz w:val="24"/>
          <w:szCs w:val="24"/>
          <w:lang w:eastAsia="pl-PL"/>
        </w:rPr>
      </w:pPr>
    </w:p>
    <w:p w:rsidR="0070519D" w:rsidRPr="005E66D9" w:rsidRDefault="00367A63" w:rsidP="005E66D9">
      <w:pPr>
        <w:spacing w:after="0"/>
        <w:rPr>
          <w:rFonts w:cs="Calibri"/>
          <w:bCs/>
          <w:sz w:val="24"/>
          <w:szCs w:val="24"/>
          <w:lang w:eastAsia="pl-PL"/>
        </w:rPr>
      </w:pPr>
      <w:r w:rsidRPr="005E66D9">
        <w:rPr>
          <w:rFonts w:cs="Calibri"/>
          <w:bCs/>
          <w:sz w:val="24"/>
          <w:szCs w:val="24"/>
          <w:lang w:eastAsia="pl-PL"/>
        </w:rPr>
        <w:t xml:space="preserve">Opis przedmiotu zamówienia na </w:t>
      </w:r>
      <w:r w:rsidR="00B562F2">
        <w:rPr>
          <w:rFonts w:eastAsia="Calibri" w:cs="Calibri"/>
          <w:sz w:val="24"/>
          <w:szCs w:val="24"/>
        </w:rPr>
        <w:t xml:space="preserve">„Zakup wraz z </w:t>
      </w:r>
      <w:r w:rsidR="0070519D" w:rsidRPr="005E66D9">
        <w:rPr>
          <w:rFonts w:eastAsia="Calibri" w:cs="Calibri"/>
          <w:sz w:val="24"/>
          <w:szCs w:val="24"/>
        </w:rPr>
        <w:t>d</w:t>
      </w:r>
      <w:r w:rsidR="00B562F2">
        <w:rPr>
          <w:rFonts w:cs="Calibri"/>
          <w:bCs/>
          <w:sz w:val="24"/>
          <w:szCs w:val="24"/>
          <w:lang w:eastAsia="pl-PL"/>
        </w:rPr>
        <w:t>ostawą</w:t>
      </w:r>
      <w:r w:rsidR="0070519D" w:rsidRPr="005E66D9">
        <w:rPr>
          <w:rFonts w:cs="Calibri"/>
          <w:bCs/>
          <w:sz w:val="24"/>
          <w:szCs w:val="24"/>
          <w:lang w:eastAsia="pl-PL"/>
        </w:rPr>
        <w:t xml:space="preserve"> tonerów</w:t>
      </w:r>
      <w:r w:rsidR="003824BE" w:rsidRPr="005E66D9">
        <w:rPr>
          <w:rFonts w:cs="Calibri"/>
          <w:bCs/>
          <w:sz w:val="24"/>
          <w:szCs w:val="24"/>
          <w:lang w:eastAsia="pl-PL"/>
        </w:rPr>
        <w:t xml:space="preserve"> i akcesoriów</w:t>
      </w:r>
      <w:r w:rsidR="0070519D" w:rsidRPr="005E66D9">
        <w:rPr>
          <w:rFonts w:cs="Calibri"/>
          <w:bCs/>
          <w:sz w:val="24"/>
          <w:szCs w:val="24"/>
          <w:lang w:eastAsia="pl-PL"/>
        </w:rPr>
        <w:t xml:space="preserve"> do drukarek i  kserokopiarek n</w:t>
      </w:r>
      <w:r w:rsidR="00F10166">
        <w:rPr>
          <w:rFonts w:cs="Calibri"/>
          <w:bCs/>
          <w:sz w:val="24"/>
          <w:szCs w:val="24"/>
          <w:lang w:eastAsia="pl-PL"/>
        </w:rPr>
        <w:t>a potrzeby MOPR z podziałem na trzy</w:t>
      </w:r>
      <w:r w:rsidR="0070519D" w:rsidRPr="005E66D9">
        <w:rPr>
          <w:rFonts w:cs="Calibri"/>
          <w:bCs/>
          <w:sz w:val="24"/>
          <w:szCs w:val="24"/>
          <w:lang w:eastAsia="pl-PL"/>
        </w:rPr>
        <w:t xml:space="preserve"> części”</w:t>
      </w:r>
    </w:p>
    <w:p w:rsidR="00367A63" w:rsidRPr="005E66D9" w:rsidRDefault="00367A63" w:rsidP="005E66D9">
      <w:pPr>
        <w:spacing w:after="0"/>
        <w:rPr>
          <w:rFonts w:eastAsia="Calibri" w:cs="Calibri"/>
          <w:sz w:val="24"/>
          <w:szCs w:val="24"/>
          <w:lang w:eastAsia="en-US"/>
        </w:rPr>
      </w:pPr>
    </w:p>
    <w:p w:rsidR="0070519D" w:rsidRPr="005E66D9" w:rsidRDefault="0070519D" w:rsidP="005E66D9">
      <w:pPr>
        <w:spacing w:after="0"/>
        <w:contextualSpacing/>
        <w:rPr>
          <w:rFonts w:eastAsia="Arial" w:cs="Calibri"/>
          <w:bCs/>
          <w:sz w:val="24"/>
          <w:szCs w:val="24"/>
        </w:rPr>
      </w:pPr>
      <w:r w:rsidRPr="005E66D9">
        <w:rPr>
          <w:rFonts w:cs="Calibri"/>
          <w:bCs/>
          <w:sz w:val="24"/>
          <w:szCs w:val="24"/>
        </w:rPr>
        <w:t>Prze</w:t>
      </w:r>
      <w:r w:rsidR="00F10166">
        <w:rPr>
          <w:rFonts w:cs="Calibri"/>
          <w:bCs/>
          <w:sz w:val="24"/>
          <w:szCs w:val="24"/>
        </w:rPr>
        <w:t>dmiot zamówienia podzielono na trzy</w:t>
      </w:r>
      <w:r w:rsidRPr="005E66D9">
        <w:rPr>
          <w:rFonts w:cs="Calibri"/>
          <w:bCs/>
          <w:sz w:val="24"/>
          <w:szCs w:val="24"/>
        </w:rPr>
        <w:t xml:space="preserve"> części : </w:t>
      </w:r>
    </w:p>
    <w:p w:rsidR="0070519D" w:rsidRPr="005E66D9" w:rsidRDefault="0070519D" w:rsidP="005E66D9">
      <w:pPr>
        <w:tabs>
          <w:tab w:val="left" w:pos="0"/>
        </w:tabs>
        <w:spacing w:after="0"/>
        <w:rPr>
          <w:rFonts w:cs="Calibri"/>
          <w:b/>
          <w:bCs/>
          <w:sz w:val="24"/>
          <w:szCs w:val="24"/>
          <w:lang w:eastAsia="ar-SA"/>
        </w:rPr>
      </w:pPr>
      <w:r w:rsidRPr="005E66D9">
        <w:rPr>
          <w:rFonts w:cs="Calibri"/>
          <w:b/>
          <w:bCs/>
          <w:sz w:val="24"/>
          <w:szCs w:val="24"/>
          <w:lang w:eastAsia="pl-PL"/>
        </w:rPr>
        <w:t>Część 1a</w:t>
      </w:r>
      <w:r w:rsidRPr="005E66D9">
        <w:rPr>
          <w:rFonts w:cs="Calibri"/>
          <w:bCs/>
          <w:sz w:val="24"/>
          <w:szCs w:val="24"/>
          <w:lang w:eastAsia="pl-PL"/>
        </w:rPr>
        <w:t xml:space="preserve"> – Zakup i dostawa tonerów do drukarek</w:t>
      </w:r>
    </w:p>
    <w:p w:rsidR="00CF3248" w:rsidRPr="005E66D9" w:rsidRDefault="0070519D" w:rsidP="005E66D9">
      <w:pPr>
        <w:tabs>
          <w:tab w:val="left" w:pos="6023"/>
        </w:tabs>
        <w:suppressAutoHyphens w:val="0"/>
        <w:spacing w:after="0"/>
        <w:contextualSpacing/>
        <w:rPr>
          <w:rFonts w:cs="Calibri"/>
          <w:bCs/>
          <w:sz w:val="24"/>
          <w:szCs w:val="24"/>
          <w:lang w:eastAsia="pl-PL"/>
        </w:rPr>
      </w:pPr>
      <w:r w:rsidRPr="005E66D9">
        <w:rPr>
          <w:rFonts w:cs="Calibri"/>
          <w:b/>
          <w:bCs/>
          <w:sz w:val="24"/>
          <w:szCs w:val="24"/>
          <w:lang w:eastAsia="pl-PL"/>
        </w:rPr>
        <w:t>Część 1b</w:t>
      </w:r>
      <w:r w:rsidRPr="005E66D9">
        <w:rPr>
          <w:rFonts w:cs="Calibri"/>
          <w:bCs/>
          <w:sz w:val="24"/>
          <w:szCs w:val="24"/>
          <w:lang w:eastAsia="pl-PL"/>
        </w:rPr>
        <w:t xml:space="preserve">  - Zakup i dostawa tonerów do kserokopiarek</w:t>
      </w:r>
      <w:r w:rsidR="00236031" w:rsidRPr="005E66D9">
        <w:rPr>
          <w:rFonts w:cs="Calibri"/>
          <w:bCs/>
          <w:sz w:val="24"/>
          <w:szCs w:val="24"/>
          <w:lang w:eastAsia="pl-PL"/>
        </w:rPr>
        <w:tab/>
      </w:r>
    </w:p>
    <w:p w:rsidR="0070519D" w:rsidRPr="005E66D9" w:rsidRDefault="00CF3248" w:rsidP="005E66D9">
      <w:pPr>
        <w:suppressAutoHyphens w:val="0"/>
        <w:spacing w:after="0"/>
        <w:contextualSpacing/>
        <w:rPr>
          <w:rFonts w:cs="Calibri"/>
          <w:bCs/>
          <w:sz w:val="24"/>
          <w:szCs w:val="24"/>
          <w:lang w:eastAsia="pl-PL"/>
        </w:rPr>
      </w:pPr>
      <w:r w:rsidRPr="005E66D9">
        <w:rPr>
          <w:rFonts w:cs="Calibri"/>
          <w:b/>
          <w:bCs/>
          <w:sz w:val="24"/>
          <w:szCs w:val="24"/>
          <w:lang w:eastAsia="pl-PL"/>
        </w:rPr>
        <w:t>Część 1 c</w:t>
      </w:r>
      <w:r w:rsidRPr="005E66D9">
        <w:rPr>
          <w:rFonts w:cs="Calibri"/>
          <w:bCs/>
          <w:sz w:val="24"/>
          <w:szCs w:val="24"/>
          <w:lang w:eastAsia="pl-PL"/>
        </w:rPr>
        <w:t xml:space="preserve"> – zakup i dostawa </w:t>
      </w:r>
      <w:r w:rsidR="0070519D" w:rsidRPr="005E66D9">
        <w:rPr>
          <w:rFonts w:cs="Calibri"/>
          <w:bCs/>
          <w:sz w:val="24"/>
          <w:szCs w:val="24"/>
          <w:lang w:eastAsia="pl-PL"/>
        </w:rPr>
        <w:t xml:space="preserve"> </w:t>
      </w:r>
      <w:r w:rsidR="00CB3E69" w:rsidRPr="005E66D9">
        <w:rPr>
          <w:rFonts w:cs="Calibri"/>
          <w:bCs/>
          <w:sz w:val="24"/>
          <w:szCs w:val="24"/>
          <w:lang w:eastAsia="pl-PL"/>
        </w:rPr>
        <w:t>akcesoriów do drukarek</w:t>
      </w:r>
    </w:p>
    <w:p w:rsidR="009F2A7D" w:rsidRPr="005E66D9" w:rsidRDefault="009F2A7D" w:rsidP="005E66D9">
      <w:pPr>
        <w:suppressAutoHyphens w:val="0"/>
        <w:spacing w:after="0"/>
        <w:contextualSpacing/>
        <w:rPr>
          <w:rFonts w:cs="Calibri"/>
          <w:bCs/>
          <w:sz w:val="24"/>
          <w:szCs w:val="24"/>
          <w:lang w:eastAsia="pl-PL"/>
        </w:rPr>
      </w:pPr>
    </w:p>
    <w:p w:rsidR="00D804BB" w:rsidRPr="005E66D9" w:rsidRDefault="0070519D" w:rsidP="005E66D9">
      <w:pPr>
        <w:pStyle w:val="Nagwek3"/>
        <w:numPr>
          <w:ilvl w:val="0"/>
          <w:numId w:val="4"/>
        </w:numPr>
        <w:spacing w:line="276" w:lineRule="auto"/>
        <w:ind w:hanging="1080"/>
        <w:rPr>
          <w:rFonts w:ascii="Calibri" w:hAnsi="Calibri" w:cs="Calibri"/>
          <w:sz w:val="24"/>
          <w:szCs w:val="24"/>
        </w:rPr>
      </w:pPr>
      <w:r w:rsidRPr="005E66D9">
        <w:rPr>
          <w:rFonts w:ascii="Calibri" w:hAnsi="Calibri" w:cs="Calibri"/>
          <w:sz w:val="24"/>
          <w:szCs w:val="24"/>
        </w:rPr>
        <w:t xml:space="preserve">WARUNKI SZCZEGÓŁOWE </w:t>
      </w:r>
      <w:r w:rsidR="00D804BB" w:rsidRPr="005E66D9">
        <w:rPr>
          <w:rFonts w:ascii="Calibri" w:hAnsi="Calibri" w:cs="Calibri"/>
          <w:sz w:val="24"/>
          <w:szCs w:val="24"/>
        </w:rPr>
        <w:t xml:space="preserve">ZAKUPU I DOSTAWY </w:t>
      </w:r>
      <w:r w:rsidRPr="005E66D9">
        <w:rPr>
          <w:rFonts w:ascii="Calibri" w:hAnsi="Calibri" w:cs="Calibri"/>
          <w:sz w:val="24"/>
          <w:szCs w:val="24"/>
        </w:rPr>
        <w:t xml:space="preserve">DOTYCZĄCE </w:t>
      </w:r>
      <w:r w:rsidR="00F10166">
        <w:rPr>
          <w:rFonts w:ascii="Calibri" w:hAnsi="Calibri" w:cs="Calibri"/>
          <w:sz w:val="24"/>
          <w:szCs w:val="24"/>
        </w:rPr>
        <w:t>CZĘŚCI 1a, 1b, 1c</w:t>
      </w:r>
    </w:p>
    <w:p w:rsidR="0070519D" w:rsidRPr="005E66D9" w:rsidRDefault="0070519D" w:rsidP="005E66D9">
      <w:pPr>
        <w:pStyle w:val="Nagwek3"/>
        <w:numPr>
          <w:ilvl w:val="0"/>
          <w:numId w:val="1"/>
        </w:numPr>
        <w:spacing w:before="0" w:after="0" w:line="276" w:lineRule="auto"/>
        <w:ind w:left="0" w:firstLine="0"/>
        <w:rPr>
          <w:rFonts w:ascii="Calibri" w:hAnsi="Calibri" w:cs="Calibri"/>
          <w:b w:val="0"/>
          <w:sz w:val="24"/>
          <w:szCs w:val="24"/>
          <w:lang w:eastAsia="pl-PL"/>
        </w:rPr>
      </w:pPr>
      <w:r w:rsidRPr="005E66D9">
        <w:rPr>
          <w:rFonts w:ascii="Calibri" w:hAnsi="Calibri" w:cs="Calibri"/>
          <w:b w:val="0"/>
          <w:sz w:val="24"/>
          <w:szCs w:val="24"/>
          <w:lang w:eastAsia="pl-PL"/>
        </w:rPr>
        <w:t>Materiały muszą być fabrycznie nowe, nie poddane wcześniej procesowi regeneracji, oryginalnie zapakowane. Wykonawca gwarantuje, że dostarczone materiały są fabrycznie nowe, zapewniające kompatybilność pracy z urządzeniami Zamawiającego oraz są dopuszczone do obrotu na terenie Rzeczpospolitej Polskiej.</w:t>
      </w:r>
    </w:p>
    <w:p w:rsidR="0070519D" w:rsidRPr="005E66D9" w:rsidRDefault="00686CCA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„</w:t>
      </w:r>
      <w:r w:rsidR="0070519D" w:rsidRPr="005E66D9">
        <w:rPr>
          <w:rFonts w:cs="Calibri"/>
          <w:sz w:val="24"/>
          <w:szCs w:val="24"/>
          <w:lang w:eastAsia="pl-PL"/>
        </w:rPr>
        <w:t>Fabrycznie nowe</w:t>
      </w:r>
      <w:r>
        <w:rPr>
          <w:rFonts w:cs="Calibri"/>
          <w:sz w:val="24"/>
          <w:szCs w:val="24"/>
          <w:lang w:eastAsia="pl-PL"/>
        </w:rPr>
        <w:t>”</w:t>
      </w:r>
      <w:r w:rsidR="0070519D" w:rsidRPr="005E66D9">
        <w:rPr>
          <w:rFonts w:cs="Calibri"/>
          <w:sz w:val="24"/>
          <w:szCs w:val="24"/>
          <w:lang w:eastAsia="pl-PL"/>
        </w:rPr>
        <w:t xml:space="preserve"> to produkty wykonane z nowych elementów bez śladów uszkodzenia. Opakowanie z widocznym logo, symbolem produktu, terminem przydatności do użytku, posiadające wszelkie zabezpieczenia szczelności zbiorników z tonerem oraz parametry techniczne i informację do jakiego typu urządzenia dany produkt jest stosowany.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 fabry</w:t>
      </w:r>
      <w:r w:rsidR="003824BE" w:rsidRPr="005E66D9">
        <w:rPr>
          <w:rFonts w:cs="Calibri"/>
          <w:sz w:val="24"/>
          <w:szCs w:val="24"/>
          <w:lang w:eastAsia="pl-PL"/>
        </w:rPr>
        <w:t>cznie nowy nie uznaje się wyrobu</w:t>
      </w:r>
      <w:r w:rsidRPr="005E66D9">
        <w:rPr>
          <w:rFonts w:cs="Calibri"/>
          <w:sz w:val="24"/>
          <w:szCs w:val="24"/>
          <w:lang w:eastAsia="pl-PL"/>
        </w:rPr>
        <w:t>, gdzie pojemnik został jedynie wyczyszczony i ponownie napełniony tonerem lub tuszem.</w:t>
      </w:r>
    </w:p>
    <w:p w:rsidR="006E4284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 xml:space="preserve">Zamawiający dopuszcza produkty równoważne - zamienniki chyba, że inaczej stanowi formularz cenowy. </w:t>
      </w:r>
    </w:p>
    <w:p w:rsidR="0070519D" w:rsidRPr="005E66D9" w:rsidRDefault="006E4284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Dla części 1a i 1c Zamawiający dopuszcza produkt oryginalny lub równoważny (zamiennik).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</w:t>
      </w:r>
      <w:r w:rsidR="001C3E37" w:rsidRPr="005E66D9">
        <w:rPr>
          <w:rFonts w:cs="Calibri"/>
          <w:sz w:val="24"/>
          <w:szCs w:val="24"/>
          <w:lang w:eastAsia="pl-PL"/>
        </w:rPr>
        <w:t xml:space="preserve">mawiający </w:t>
      </w:r>
      <w:r w:rsidR="00B365DC" w:rsidRPr="005E66D9">
        <w:rPr>
          <w:rFonts w:cs="Calibri"/>
          <w:sz w:val="24"/>
          <w:szCs w:val="24"/>
          <w:lang w:eastAsia="pl-PL"/>
        </w:rPr>
        <w:t xml:space="preserve">dla cz. 1b „tonery do kserokopiarek” </w:t>
      </w:r>
      <w:r w:rsidR="001C3E37" w:rsidRPr="005E66D9">
        <w:rPr>
          <w:rFonts w:cs="Calibri"/>
          <w:sz w:val="24"/>
          <w:szCs w:val="24"/>
          <w:lang w:eastAsia="pl-PL"/>
        </w:rPr>
        <w:t>wymaga</w:t>
      </w:r>
      <w:r w:rsidR="00B365DC">
        <w:rPr>
          <w:rFonts w:cs="Calibri"/>
          <w:sz w:val="24"/>
          <w:szCs w:val="24"/>
          <w:lang w:eastAsia="pl-PL"/>
        </w:rPr>
        <w:t xml:space="preserve"> </w:t>
      </w:r>
      <w:r w:rsidR="001C3E37" w:rsidRPr="005E66D9">
        <w:rPr>
          <w:rFonts w:cs="Calibri"/>
          <w:sz w:val="24"/>
          <w:szCs w:val="24"/>
          <w:lang w:eastAsia="pl-PL"/>
        </w:rPr>
        <w:t>–</w:t>
      </w:r>
      <w:r w:rsidR="00B365DC">
        <w:rPr>
          <w:rFonts w:cs="Calibri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E66D9">
        <w:rPr>
          <w:rFonts w:cs="Calibri"/>
          <w:sz w:val="24"/>
          <w:szCs w:val="24"/>
          <w:lang w:eastAsia="pl-PL"/>
        </w:rPr>
        <w:t xml:space="preserve">tylko i wyłącznie urządzeń </w:t>
      </w:r>
      <w:r w:rsidR="003824BE" w:rsidRPr="005E66D9">
        <w:rPr>
          <w:rFonts w:cs="Calibri"/>
          <w:sz w:val="24"/>
          <w:szCs w:val="24"/>
          <w:lang w:eastAsia="pl-PL"/>
        </w:rPr>
        <w:t xml:space="preserve">nowych, </w:t>
      </w:r>
      <w:r w:rsidRPr="005E66D9">
        <w:rPr>
          <w:rFonts w:cs="Calibri"/>
          <w:sz w:val="24"/>
          <w:szCs w:val="24"/>
          <w:lang w:eastAsia="pl-PL"/>
        </w:rPr>
        <w:t>oryginalnych.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bCs/>
          <w:sz w:val="24"/>
          <w:szCs w:val="24"/>
          <w:lang w:eastAsia="pl-PL"/>
        </w:rPr>
        <w:t>Produkty oryginalne są wymagane przez Zamawiającego z uwagi na posiadanie urządzeń drukujących i kserujących na gwarancji producenta, w których użycie innych – równoważnych materiałów spowodowałby utratę gwarancji producenta drukarek.</w:t>
      </w:r>
    </w:p>
    <w:p w:rsidR="0070519D" w:rsidRPr="005E66D9" w:rsidRDefault="003824BE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 xml:space="preserve"> Przez produkt równoważny – z</w:t>
      </w:r>
      <w:r w:rsidR="0070519D" w:rsidRPr="005E66D9">
        <w:rPr>
          <w:rFonts w:cs="Calibri"/>
          <w:sz w:val="24"/>
          <w:szCs w:val="24"/>
          <w:lang w:eastAsia="pl-PL"/>
        </w:rPr>
        <w:t>amiennik</w:t>
      </w:r>
      <w:r w:rsidRPr="005E66D9">
        <w:rPr>
          <w:rFonts w:cs="Calibri"/>
          <w:sz w:val="24"/>
          <w:szCs w:val="24"/>
          <w:lang w:eastAsia="pl-PL"/>
        </w:rPr>
        <w:t>,</w:t>
      </w:r>
      <w:r w:rsidR="0070519D" w:rsidRPr="005E66D9">
        <w:rPr>
          <w:rFonts w:cs="Calibri"/>
          <w:sz w:val="24"/>
          <w:szCs w:val="24"/>
          <w:lang w:eastAsia="pl-PL"/>
        </w:rPr>
        <w:t xml:space="preserve"> Zamawiający rozumie produkt kompatybilny z urządzeniem, do którego jest zamówiony, o parametrach takich samych bądź lepszych (pojemność tonera, wydajność i jakość wydruku) w stosunku do oryginału produkowanego przez producenta, o ile zostały one dopuszczone do obrotu na terytorium Rzeczpospolitej Polskiej.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Produkty oferowane przez Wykonawcę muszą być wytworzone seryjnie w cyklu produkcyjnym zgodnym z normą ISO 9001 i ISO 14001.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powołując się na rozwiązania równoważne - zamienniki w stosunku do tonerów wytwarzanych przez producentów urządzeń drukujących jest zobowiązany w swojej ofercie udowodnić ich równoważność poprzez przedłożenie dokumentów dotyczących:</w:t>
      </w:r>
    </w:p>
    <w:p w:rsidR="0070519D" w:rsidRPr="005E66D9" w:rsidRDefault="0070519D" w:rsidP="005E66D9">
      <w:pPr>
        <w:pStyle w:val="Akapitzlist"/>
        <w:numPr>
          <w:ilvl w:val="1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lastRenderedPageBreak/>
        <w:t>pojemności czy też wydajności (ilość uzyskanych kopii). Wydajność ta winna zostać potwierdzona wynikiem testów</w:t>
      </w:r>
      <w:r w:rsidR="00686CCA">
        <w:rPr>
          <w:rFonts w:cs="Calibri"/>
          <w:sz w:val="24"/>
          <w:szCs w:val="24"/>
          <w:lang w:eastAsia="pl-PL"/>
        </w:rPr>
        <w:t xml:space="preserve"> (</w:t>
      </w:r>
      <w:r w:rsidRPr="005E66D9">
        <w:rPr>
          <w:rFonts w:cs="Calibri"/>
          <w:sz w:val="24"/>
          <w:szCs w:val="24"/>
          <w:lang w:eastAsia="pl-PL"/>
        </w:rPr>
        <w:t>formularz raportu potwierdzający ilość kopii);</w:t>
      </w:r>
    </w:p>
    <w:p w:rsidR="0070519D" w:rsidRPr="005E66D9" w:rsidRDefault="0070519D" w:rsidP="005E66D9">
      <w:pPr>
        <w:pStyle w:val="Akapitzlist"/>
        <w:numPr>
          <w:ilvl w:val="1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zgo</w:t>
      </w:r>
      <w:r w:rsidR="003824BE" w:rsidRPr="005E66D9">
        <w:rPr>
          <w:rFonts w:cs="Calibri"/>
          <w:sz w:val="24"/>
          <w:szCs w:val="24"/>
          <w:lang w:eastAsia="pl-PL"/>
        </w:rPr>
        <w:t>dności z obowiązującymi normami</w:t>
      </w:r>
      <w:r w:rsidRPr="005E66D9">
        <w:rPr>
          <w:rFonts w:cs="Calibri"/>
          <w:sz w:val="24"/>
          <w:szCs w:val="24"/>
          <w:lang w:eastAsia="pl-PL"/>
        </w:rPr>
        <w:t xml:space="preserve">: dokument wydany przez producentów produktów równoważnych zgodnie z normami: </w:t>
      </w:r>
      <w:r w:rsidRPr="005E66D9">
        <w:rPr>
          <w:rFonts w:cs="Calibri"/>
          <w:b/>
          <w:sz w:val="24"/>
          <w:szCs w:val="24"/>
          <w:lang w:eastAsia="pl-PL"/>
        </w:rPr>
        <w:t>ISO/IEC 19752</w:t>
      </w:r>
      <w:r w:rsidRPr="005E66D9">
        <w:rPr>
          <w:rFonts w:cs="Calibri"/>
          <w:sz w:val="24"/>
          <w:szCs w:val="24"/>
          <w:lang w:eastAsia="pl-PL"/>
        </w:rPr>
        <w:t xml:space="preserve">-dla tonerów monochromatycznych, </w:t>
      </w:r>
      <w:r w:rsidRPr="005E66D9">
        <w:rPr>
          <w:rFonts w:cs="Calibri"/>
          <w:b/>
          <w:sz w:val="24"/>
          <w:szCs w:val="24"/>
          <w:lang w:eastAsia="pl-PL"/>
        </w:rPr>
        <w:t>ISO/IEC 24711</w:t>
      </w:r>
      <w:r w:rsidRPr="005E66D9">
        <w:rPr>
          <w:rFonts w:cs="Calibri"/>
          <w:sz w:val="24"/>
          <w:szCs w:val="24"/>
          <w:lang w:eastAsia="pl-PL"/>
        </w:rPr>
        <w:t xml:space="preserve"> – dla wkładów atramentowych, </w:t>
      </w:r>
      <w:r w:rsidRPr="005E66D9">
        <w:rPr>
          <w:rFonts w:cs="Calibri"/>
          <w:b/>
          <w:sz w:val="24"/>
          <w:szCs w:val="24"/>
          <w:lang w:eastAsia="pl-PL"/>
        </w:rPr>
        <w:t>ISO/IEC 19798</w:t>
      </w:r>
      <w:r w:rsidRPr="005E66D9">
        <w:rPr>
          <w:rFonts w:cs="Calibri"/>
          <w:sz w:val="24"/>
          <w:szCs w:val="24"/>
          <w:lang w:eastAsia="pl-PL"/>
        </w:rPr>
        <w:t xml:space="preserve"> – dla tonerów kolorowych lub normami równoważnymi;</w:t>
      </w:r>
    </w:p>
    <w:p w:rsidR="0070519D" w:rsidRPr="005E66D9" w:rsidRDefault="0070519D" w:rsidP="005E66D9">
      <w:pPr>
        <w:pStyle w:val="Akapitzlist"/>
        <w:numPr>
          <w:ilvl w:val="0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ponosi pełną odpowiedzialność za zgodność z prawem i opisem przedmiotu zamówienia  oferowanych produktów;</w:t>
      </w:r>
    </w:p>
    <w:p w:rsidR="0070519D" w:rsidRPr="005E66D9" w:rsidRDefault="0070519D" w:rsidP="005E66D9">
      <w:pPr>
        <w:pStyle w:val="Akapitzlist"/>
        <w:numPr>
          <w:ilvl w:val="0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 przypadku produktów sprzedawanych pod inną marką handlową niż marka producenta – wraz z dokumentami potwierdzającymi spełnienie przez produkt norm IS</w:t>
      </w:r>
      <w:r w:rsidR="000125E6">
        <w:rPr>
          <w:rFonts w:cs="Calibri"/>
          <w:sz w:val="24"/>
          <w:szCs w:val="24"/>
          <w:lang w:eastAsia="pl-PL"/>
        </w:rPr>
        <w:t>O</w:t>
      </w:r>
      <w:r w:rsidRPr="005E66D9">
        <w:rPr>
          <w:rFonts w:cs="Calibri"/>
          <w:sz w:val="24"/>
          <w:szCs w:val="24"/>
          <w:lang w:eastAsia="pl-PL"/>
        </w:rPr>
        <w:t>/IEC należy dostarczyć oświadczenie wykonawcy o pochodzeniu tego produktu</w:t>
      </w:r>
      <w:r w:rsidR="00686CCA">
        <w:rPr>
          <w:rFonts w:cs="Calibri"/>
          <w:sz w:val="24"/>
          <w:szCs w:val="24"/>
          <w:lang w:eastAsia="pl-PL"/>
        </w:rPr>
        <w:t xml:space="preserve"> (</w:t>
      </w:r>
      <w:r w:rsidRPr="005E66D9">
        <w:rPr>
          <w:rFonts w:cs="Calibri"/>
          <w:sz w:val="24"/>
          <w:szCs w:val="24"/>
          <w:lang w:eastAsia="pl-PL"/>
        </w:rPr>
        <w:t>tj. nazwa producenta/importera);</w:t>
      </w:r>
    </w:p>
    <w:p w:rsidR="0070519D" w:rsidRPr="005E66D9" w:rsidRDefault="0070519D" w:rsidP="005E66D9">
      <w:pPr>
        <w:pStyle w:val="Akapitzlist"/>
        <w:numPr>
          <w:ilvl w:val="0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Termin ważności (przydatności) przedmiotu zamówienia to minimum 12 miesięcy licząc od daty dosta</w:t>
      </w:r>
      <w:r w:rsidR="00686CCA">
        <w:rPr>
          <w:rFonts w:cs="Calibri"/>
          <w:sz w:val="24"/>
          <w:szCs w:val="24"/>
          <w:lang w:eastAsia="pl-PL"/>
        </w:rPr>
        <w:t>rczenia towaru do Zamawiającego</w:t>
      </w:r>
      <w:r w:rsidRPr="005E66D9">
        <w:rPr>
          <w:rFonts w:cs="Calibri"/>
          <w:sz w:val="24"/>
          <w:szCs w:val="24"/>
          <w:lang w:eastAsia="pl-PL"/>
        </w:rPr>
        <w:t xml:space="preserve"> lub terminu przydatności na opakowaniu tego produktu, jeżeli jest terminem dłuższym;</w:t>
      </w:r>
    </w:p>
    <w:p w:rsidR="0070519D" w:rsidRPr="005E66D9" w:rsidRDefault="0070519D" w:rsidP="005E66D9">
      <w:pPr>
        <w:pStyle w:val="Akapitzlist"/>
        <w:numPr>
          <w:ilvl w:val="0"/>
          <w:numId w:val="1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Dostawa towaru będzie kontrolowana przez Zamawiającego;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 xml:space="preserve">Zamawiający zastrzega sobie możliwość zwrotu całej partii towaru, w sytuacji, gdy wśród sprawdzonych tonerów, chociaż jeden </w:t>
      </w:r>
      <w:r w:rsidR="00686CCA">
        <w:rPr>
          <w:rFonts w:cs="Calibri"/>
          <w:sz w:val="24"/>
          <w:szCs w:val="24"/>
          <w:lang w:eastAsia="pl-PL"/>
        </w:rPr>
        <w:t>okaże się wadliwy lub nie</w:t>
      </w:r>
      <w:r w:rsidRPr="005E66D9">
        <w:rPr>
          <w:rFonts w:cs="Calibri"/>
          <w:sz w:val="24"/>
          <w:szCs w:val="24"/>
          <w:lang w:eastAsia="pl-PL"/>
        </w:rPr>
        <w:t>zgodny z przedmiotem zamówienia. W takim przypadku Wykonawca będzie zobowiązany odebrać całą dostarczoną partię towaru na własny koszt i ponownie dostarczyć tonery wolne od wad w terminie 1 dnia roboczego od zgłoszenia reklamacji;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będzie ponosił odpowiedzialność za ewentualne uszkodzenia drukarek i kserokopiarek Zamawiającego powstałe w wyniku niewłaściwej jakości dostarczonych przez niego tonerów, a stwierdzone pisemną opinią wystawioną przez zewnętrzny autoryzowany serwis producenta drukarek i kserokopiarek;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Jeśli dostarczone tonery będą wykonywać rażąco mniejszą od podanej przez Wykonawcę liczbę wydruków i kopii lub wystąpią objawy wadliwej pracy tonera (np. zabrudzenia, głośna praca, zła jakość wydruku), Zamawiający ma prawo je zwrócić w ramach rękojmi. Wykonawca prześle w zamian sprawne tonery w czasie do 2 dni roboczych od daty otrzymania reklamacji.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w terminie 7 dni od daty wystawienia</w:t>
      </w:r>
      <w:r w:rsidR="003824BE" w:rsidRPr="005E66D9">
        <w:rPr>
          <w:rFonts w:cs="Calibri"/>
          <w:sz w:val="24"/>
          <w:szCs w:val="24"/>
          <w:lang w:eastAsia="pl-PL"/>
        </w:rPr>
        <w:t xml:space="preserve"> opinii, o której mowa w pkt. 15</w:t>
      </w:r>
      <w:r w:rsidRPr="005E66D9">
        <w:rPr>
          <w:rFonts w:cs="Calibri"/>
          <w:sz w:val="24"/>
          <w:szCs w:val="24"/>
          <w:lang w:eastAsia="pl-PL"/>
        </w:rPr>
        <w:t xml:space="preserve"> dokona wymiany wadliwego sprzętu Zamawiającego na nowy tego samego rodzaju, jakości i producenta na swój koszt i zapewni poprzez dostawę i instalację zamiennych drukarek i kserokopiarek zastępczy sp</w:t>
      </w:r>
      <w:r w:rsidR="000125E6">
        <w:rPr>
          <w:rFonts w:cs="Calibri"/>
          <w:sz w:val="24"/>
          <w:szCs w:val="24"/>
          <w:lang w:eastAsia="pl-PL"/>
        </w:rPr>
        <w:t>rzęt do drukowania  na czas nie</w:t>
      </w:r>
      <w:r w:rsidRPr="005E66D9">
        <w:rPr>
          <w:rFonts w:cs="Calibri"/>
          <w:sz w:val="24"/>
          <w:szCs w:val="24"/>
          <w:lang w:eastAsia="pl-PL"/>
        </w:rPr>
        <w:t>zbędny do naprawy;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dostarczy przedmiot zamówienia bez dodatkowego wynagrodzenia bezpośrednio do siedziby Zamawiającego.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Jeżeli w trakcie trwania umowy Zamawiający stwierdzi, że wydajność, jakość lub niezawodność dostarczonych produktów równoważnych nie spełnia parametrów produktu oryginalnego</w:t>
      </w:r>
      <w:r w:rsidR="00686CCA">
        <w:rPr>
          <w:rFonts w:cs="Calibri"/>
          <w:sz w:val="24"/>
          <w:szCs w:val="24"/>
          <w:lang w:eastAsia="pl-PL"/>
        </w:rPr>
        <w:t xml:space="preserve"> </w:t>
      </w:r>
      <w:r w:rsidRPr="005E66D9">
        <w:rPr>
          <w:rFonts w:cs="Calibri"/>
          <w:sz w:val="24"/>
          <w:szCs w:val="24"/>
          <w:lang w:eastAsia="pl-PL"/>
        </w:rPr>
        <w:t xml:space="preserve">(OEM) lub jeżeli urządzenie nie będzie sygnalizować stanu zużycia tuszu lub tonera albo nie będzie raportować liczby kopii tak, jak ma to miejsce w wykorzystaniem </w:t>
      </w:r>
      <w:r w:rsidRPr="005E66D9">
        <w:rPr>
          <w:rFonts w:cs="Calibri"/>
          <w:sz w:val="24"/>
          <w:szCs w:val="24"/>
          <w:lang w:eastAsia="pl-PL"/>
        </w:rPr>
        <w:lastRenderedPageBreak/>
        <w:t>materiałów OEM, Zamawiający zażąda od Wykonawcy zmiany produktu na nowy bez dodatkowej dopłaty;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Zamawiający wymaga, aby Wykonawca udzielił minimum 24-miesięcznej gwarancji na oferowany towar, licząc od daty dostawy towaru.</w:t>
      </w:r>
    </w:p>
    <w:p w:rsidR="0070519D" w:rsidRPr="005E66D9" w:rsidRDefault="0070519D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Szczegółowe oznaczenia tonerów znajdują się w załączniku nr 1a, 1b</w:t>
      </w:r>
      <w:r w:rsidR="00D804BB" w:rsidRPr="005E66D9">
        <w:rPr>
          <w:rFonts w:cs="Calibri"/>
          <w:sz w:val="24"/>
          <w:szCs w:val="24"/>
          <w:lang w:eastAsia="pl-PL"/>
        </w:rPr>
        <w:t>, 1c</w:t>
      </w:r>
      <w:r w:rsidRPr="005E66D9">
        <w:rPr>
          <w:rFonts w:cs="Calibri"/>
          <w:sz w:val="24"/>
          <w:szCs w:val="24"/>
          <w:lang w:eastAsia="pl-PL"/>
        </w:rPr>
        <w:t xml:space="preserve"> </w:t>
      </w:r>
      <w:r w:rsidR="009F2A7D" w:rsidRPr="005E66D9">
        <w:rPr>
          <w:rFonts w:cs="Calibri"/>
          <w:sz w:val="24"/>
          <w:szCs w:val="24"/>
          <w:lang w:eastAsia="pl-PL"/>
        </w:rPr>
        <w:t xml:space="preserve">do </w:t>
      </w:r>
      <w:r w:rsidRPr="005E66D9">
        <w:rPr>
          <w:rFonts w:cs="Calibri"/>
          <w:sz w:val="24"/>
          <w:szCs w:val="24"/>
          <w:lang w:eastAsia="pl-PL"/>
        </w:rPr>
        <w:t>zapytania ofertowego.</w:t>
      </w:r>
    </w:p>
    <w:p w:rsidR="00D804BB" w:rsidRPr="005E66D9" w:rsidRDefault="00D804BB" w:rsidP="005E66D9">
      <w:pPr>
        <w:numPr>
          <w:ilvl w:val="0"/>
          <w:numId w:val="1"/>
        </w:numPr>
        <w:spacing w:after="0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</w:rPr>
        <w:t>Dostaw</w:t>
      </w:r>
      <w:r w:rsidR="000125E6">
        <w:rPr>
          <w:rFonts w:cs="Calibri"/>
          <w:sz w:val="24"/>
          <w:szCs w:val="24"/>
        </w:rPr>
        <w:t>ca tonerów, bębnów, akcesoria z</w:t>
      </w:r>
      <w:r w:rsidRPr="005E66D9">
        <w:rPr>
          <w:rFonts w:cs="Calibri"/>
          <w:sz w:val="24"/>
          <w:szCs w:val="24"/>
        </w:rPr>
        <w:t>obowiązuje się do bezpłatnego odebrania zużytych towarów, których wcześnie</w:t>
      </w:r>
      <w:r w:rsidR="000125E6">
        <w:rPr>
          <w:rFonts w:cs="Calibri"/>
          <w:sz w:val="24"/>
          <w:szCs w:val="24"/>
        </w:rPr>
        <w:t xml:space="preserve">j dostarczył do zamawiającego oraz </w:t>
      </w:r>
      <w:r w:rsidR="000125E6">
        <w:t>wystawi dokument potwierdzający odbiór odpadów zgodny z obowiązującymi przepisami w systemie BDO”.</w:t>
      </w:r>
    </w:p>
    <w:p w:rsidR="0070519D" w:rsidRPr="005E66D9" w:rsidRDefault="0070519D" w:rsidP="005E66D9">
      <w:pPr>
        <w:tabs>
          <w:tab w:val="left" w:pos="0"/>
        </w:tabs>
        <w:spacing w:after="0"/>
        <w:rPr>
          <w:rFonts w:cs="Calibri"/>
          <w:b/>
          <w:bCs/>
          <w:sz w:val="24"/>
          <w:szCs w:val="24"/>
          <w:lang w:eastAsia="ar-SA"/>
        </w:rPr>
      </w:pPr>
    </w:p>
    <w:p w:rsidR="0070519D" w:rsidRPr="005E66D9" w:rsidRDefault="00E32F71" w:rsidP="005E66D9">
      <w:pPr>
        <w:tabs>
          <w:tab w:val="left" w:pos="1134"/>
        </w:tabs>
        <w:spacing w:after="0"/>
        <w:contextualSpacing/>
        <w:rPr>
          <w:rFonts w:cs="Calibri"/>
          <w:b/>
          <w:sz w:val="24"/>
          <w:szCs w:val="24"/>
          <w:lang w:eastAsia="pl-PL"/>
        </w:rPr>
      </w:pPr>
      <w:r w:rsidRPr="005E66D9">
        <w:rPr>
          <w:rFonts w:cs="Calibri"/>
          <w:b/>
          <w:sz w:val="24"/>
          <w:szCs w:val="24"/>
          <w:lang w:eastAsia="pl-PL"/>
        </w:rPr>
        <w:t>I</w:t>
      </w:r>
      <w:r w:rsidR="0070519D" w:rsidRPr="005E66D9">
        <w:rPr>
          <w:rFonts w:cs="Calibri"/>
          <w:b/>
          <w:sz w:val="24"/>
          <w:szCs w:val="24"/>
          <w:lang w:eastAsia="pl-PL"/>
        </w:rPr>
        <w:t>I</w:t>
      </w:r>
      <w:r w:rsidR="003E67DB" w:rsidRPr="005E66D9">
        <w:rPr>
          <w:rFonts w:cs="Calibri"/>
          <w:b/>
          <w:sz w:val="24"/>
          <w:szCs w:val="24"/>
          <w:lang w:eastAsia="pl-PL"/>
        </w:rPr>
        <w:t xml:space="preserve">                </w:t>
      </w:r>
      <w:r w:rsidR="0070519D" w:rsidRPr="005E66D9">
        <w:rPr>
          <w:rFonts w:cs="Calibri"/>
          <w:b/>
          <w:sz w:val="24"/>
          <w:szCs w:val="24"/>
          <w:lang w:eastAsia="pl-PL"/>
        </w:rPr>
        <w:t xml:space="preserve"> DODATKOW</w:t>
      </w:r>
      <w:r w:rsidR="003E67DB" w:rsidRPr="005E66D9">
        <w:rPr>
          <w:rFonts w:cs="Calibri"/>
          <w:b/>
          <w:sz w:val="24"/>
          <w:szCs w:val="24"/>
          <w:lang w:eastAsia="pl-PL"/>
        </w:rPr>
        <w:t>E POSTANOWIENIA</w:t>
      </w:r>
    </w:p>
    <w:p w:rsidR="003E67DB" w:rsidRPr="005E66D9" w:rsidRDefault="003E67DB" w:rsidP="005E66D9">
      <w:pPr>
        <w:spacing w:after="0"/>
        <w:contextualSpacing/>
        <w:rPr>
          <w:rFonts w:cs="Calibri"/>
          <w:b/>
          <w:sz w:val="24"/>
          <w:szCs w:val="24"/>
          <w:u w:val="single"/>
          <w:lang w:eastAsia="pl-PL"/>
        </w:rPr>
      </w:pP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Oferta powinna zawierać wszystkie koszty związane z realizacją zamówienia, w tym: koszty transportu.</w:t>
      </w:r>
    </w:p>
    <w:p w:rsidR="0070519D" w:rsidRPr="005E66D9" w:rsidRDefault="0070519D" w:rsidP="005E66D9">
      <w:pPr>
        <w:numPr>
          <w:ilvl w:val="0"/>
          <w:numId w:val="3"/>
        </w:numPr>
        <w:spacing w:after="0"/>
        <w:ind w:left="0" w:firstLine="0"/>
        <w:contextualSpacing/>
        <w:rPr>
          <w:rFonts w:eastAsia="Arial" w:cs="Calibri"/>
          <w:bCs/>
          <w:sz w:val="24"/>
          <w:szCs w:val="24"/>
          <w:lang w:eastAsia="en-US"/>
        </w:rPr>
      </w:pPr>
      <w:r w:rsidRPr="005E66D9">
        <w:rPr>
          <w:rFonts w:cs="Calibri"/>
          <w:bCs/>
          <w:sz w:val="24"/>
          <w:szCs w:val="24"/>
          <w:lang w:eastAsia="pl-PL"/>
        </w:rPr>
        <w:t>Dostawca powinien zapewni</w:t>
      </w:r>
      <w:r w:rsidRPr="005E66D9">
        <w:rPr>
          <w:rFonts w:cs="Calibri"/>
          <w:bCs/>
          <w:sz w:val="24"/>
          <w:szCs w:val="24"/>
        </w:rPr>
        <w:t>ć współpracę z obecnie dostępnymi i przyszłymi wersjami oprogramowania sprzętowymi drukarki i kserokop</w:t>
      </w:r>
      <w:r w:rsidR="007A1648">
        <w:rPr>
          <w:rFonts w:cs="Calibri"/>
          <w:bCs/>
          <w:sz w:val="24"/>
          <w:szCs w:val="24"/>
        </w:rPr>
        <w:t>i</w:t>
      </w:r>
      <w:r w:rsidRPr="005E66D9">
        <w:rPr>
          <w:rFonts w:cs="Calibri"/>
          <w:bCs/>
          <w:sz w:val="24"/>
          <w:szCs w:val="24"/>
        </w:rPr>
        <w:t>arki</w:t>
      </w:r>
      <w:r w:rsidR="00E32F71" w:rsidRPr="005E66D9">
        <w:rPr>
          <w:rFonts w:cs="Calibri"/>
          <w:bCs/>
          <w:sz w:val="24"/>
          <w:szCs w:val="24"/>
        </w:rPr>
        <w:t xml:space="preserve"> oraz</w:t>
      </w:r>
      <w:r w:rsidRPr="005E66D9">
        <w:rPr>
          <w:rFonts w:cs="Calibri"/>
          <w:bCs/>
          <w:sz w:val="24"/>
          <w:szCs w:val="24"/>
        </w:rPr>
        <w:t xml:space="preserve"> sterownikami bez ingerencji w toner lub konieczności używania konkretnej wersji oprogramowania. 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Dostawa jednorazowa nastąpi do placówki Zamawiającego, w terminie wcześniej uzgodnionym i zgodnym z ofertą Wykonawcy za które uzyskał punkty w kryterium - termin dostawy.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Dostawa towaru będzie kontrolowana przez Zamawiającego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Wykonawca, z którym zostanie podpisana umowa zobowiązany jest do udzielenia gwarancji na całość asortymentu na okres 24 – miesięcy.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 xml:space="preserve">Zamówienie zostało podzielone na </w:t>
      </w:r>
      <w:r w:rsidR="00CB3E69" w:rsidRPr="005E66D9">
        <w:rPr>
          <w:rFonts w:cs="Calibri"/>
          <w:sz w:val="24"/>
          <w:szCs w:val="24"/>
          <w:lang w:eastAsia="pl-PL"/>
        </w:rPr>
        <w:t>3</w:t>
      </w:r>
      <w:r w:rsidRPr="005E66D9">
        <w:rPr>
          <w:rFonts w:cs="Calibri"/>
          <w:sz w:val="24"/>
          <w:szCs w:val="24"/>
          <w:lang w:eastAsia="pl-PL"/>
        </w:rPr>
        <w:t xml:space="preserve"> części. </w:t>
      </w:r>
      <w:r w:rsidR="00E32F71" w:rsidRPr="005E66D9">
        <w:rPr>
          <w:rFonts w:cs="Calibri"/>
          <w:sz w:val="24"/>
          <w:szCs w:val="24"/>
          <w:lang w:eastAsia="pl-PL"/>
        </w:rPr>
        <w:t xml:space="preserve">Wykonawca może złożyć </w:t>
      </w:r>
      <w:r w:rsidR="00B562F2">
        <w:rPr>
          <w:rFonts w:cs="Calibri"/>
          <w:sz w:val="24"/>
          <w:szCs w:val="24"/>
          <w:lang w:eastAsia="pl-PL"/>
        </w:rPr>
        <w:t xml:space="preserve">jedną </w:t>
      </w:r>
      <w:r w:rsidR="00E32F71" w:rsidRPr="005E66D9">
        <w:rPr>
          <w:rFonts w:cs="Calibri"/>
          <w:sz w:val="24"/>
          <w:szCs w:val="24"/>
          <w:lang w:eastAsia="pl-PL"/>
        </w:rPr>
        <w:t>ofertę na każdą z części.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Zapłata za dostawę nastąpi jednorazowo w terminie do 30 – dni od daty dostarczenie prawidłowo wystawionej faktury VAT.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Wykonawca zobowiązany jest dostarczyć faktury VAT zgodne pod względem ilościowym i jakościowym z wykonaną usługą.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Zamawiający wymaga wystawienia faktury zgodnej z asortymentem i cen</w:t>
      </w:r>
      <w:r w:rsidR="002E7F7F" w:rsidRPr="005E66D9">
        <w:rPr>
          <w:rFonts w:cs="Calibri"/>
          <w:sz w:val="24"/>
          <w:szCs w:val="24"/>
          <w:lang w:eastAsia="pl-PL"/>
        </w:rPr>
        <w:t>ami zawartymi w załączniku 1a,</w:t>
      </w:r>
      <w:r w:rsidR="007431D1">
        <w:rPr>
          <w:rFonts w:cs="Calibri"/>
          <w:sz w:val="24"/>
          <w:szCs w:val="24"/>
          <w:lang w:eastAsia="pl-PL"/>
        </w:rPr>
        <w:t xml:space="preserve"> </w:t>
      </w:r>
      <w:r w:rsidRPr="005E66D9">
        <w:rPr>
          <w:rFonts w:cs="Calibri"/>
          <w:sz w:val="24"/>
          <w:szCs w:val="24"/>
          <w:lang w:eastAsia="pl-PL"/>
        </w:rPr>
        <w:t xml:space="preserve">1b </w:t>
      </w:r>
      <w:r w:rsidR="007431D1">
        <w:rPr>
          <w:rFonts w:cs="Calibri"/>
          <w:sz w:val="24"/>
          <w:szCs w:val="24"/>
          <w:lang w:eastAsia="pl-PL"/>
        </w:rPr>
        <w:t>i 1</w:t>
      </w:r>
      <w:r w:rsidR="002E7F7F" w:rsidRPr="005E66D9">
        <w:rPr>
          <w:rFonts w:cs="Calibri"/>
          <w:sz w:val="24"/>
          <w:szCs w:val="24"/>
          <w:lang w:eastAsia="pl-PL"/>
        </w:rPr>
        <w:t xml:space="preserve">c </w:t>
      </w:r>
      <w:r w:rsidR="00E32F71" w:rsidRPr="005E66D9">
        <w:rPr>
          <w:rFonts w:cs="Calibri"/>
          <w:sz w:val="24"/>
          <w:szCs w:val="24"/>
          <w:lang w:eastAsia="pl-PL"/>
        </w:rPr>
        <w:t xml:space="preserve">do </w:t>
      </w:r>
      <w:r w:rsidRPr="005E66D9">
        <w:rPr>
          <w:rFonts w:cs="Calibri"/>
          <w:sz w:val="24"/>
          <w:szCs w:val="24"/>
          <w:lang w:eastAsia="pl-PL"/>
        </w:rPr>
        <w:t>zapytania ofertowego.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Zamawiający zastrzega sobie prawo do unieważnienia postępowania w przypadku nie zabezpieczenia wystarczających środków finansowych na realizację zamówienia, które uzależnia od wysokości cen ofert złożonych w niniejszym postępowaniu lub podpisania umowy do kwot posiadanych środków finansowych.</w:t>
      </w:r>
    </w:p>
    <w:p w:rsidR="00E32F71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>Termin realizacji umowy w zakresie każdej części postępowania obejmuje okres od daty z</w:t>
      </w:r>
      <w:r w:rsidR="00E32F71" w:rsidRPr="005E66D9">
        <w:rPr>
          <w:rFonts w:cs="Calibri"/>
          <w:sz w:val="24"/>
          <w:szCs w:val="24"/>
          <w:lang w:eastAsia="pl-PL"/>
        </w:rPr>
        <w:t xml:space="preserve">awarcia umowy do czasu dostawy, który </w:t>
      </w:r>
      <w:r w:rsidR="00BF7B1E" w:rsidRPr="005E66D9">
        <w:rPr>
          <w:rFonts w:cs="Calibri"/>
          <w:sz w:val="24"/>
          <w:szCs w:val="24"/>
          <w:lang w:eastAsia="pl-PL"/>
        </w:rPr>
        <w:t>Wykonawca wskazał</w:t>
      </w:r>
      <w:r w:rsidR="00E32F71" w:rsidRPr="005E66D9">
        <w:rPr>
          <w:rFonts w:cs="Calibri"/>
          <w:sz w:val="24"/>
          <w:szCs w:val="24"/>
          <w:lang w:eastAsia="pl-PL"/>
        </w:rPr>
        <w:t xml:space="preserve"> w złożonej ofercie. </w:t>
      </w:r>
    </w:p>
    <w:p w:rsidR="0070519D" w:rsidRPr="005E66D9" w:rsidRDefault="0070519D" w:rsidP="005E66D9">
      <w:pPr>
        <w:pStyle w:val="Akapitzlist"/>
        <w:numPr>
          <w:ilvl w:val="0"/>
          <w:numId w:val="3"/>
        </w:numPr>
        <w:spacing w:after="0"/>
        <w:ind w:left="0" w:firstLine="0"/>
        <w:rPr>
          <w:rFonts w:cs="Calibri"/>
          <w:sz w:val="24"/>
          <w:szCs w:val="24"/>
          <w:lang w:eastAsia="pl-PL"/>
        </w:rPr>
      </w:pPr>
      <w:r w:rsidRPr="005E66D9">
        <w:rPr>
          <w:rFonts w:cs="Calibri"/>
          <w:sz w:val="24"/>
          <w:szCs w:val="24"/>
          <w:lang w:eastAsia="pl-PL"/>
        </w:rPr>
        <w:t xml:space="preserve">Wykonawca musi posiadać gotowość dostawy do </w:t>
      </w:r>
      <w:r w:rsidR="00E32F71" w:rsidRPr="005E66D9">
        <w:rPr>
          <w:rFonts w:cs="Calibri"/>
          <w:sz w:val="24"/>
          <w:szCs w:val="24"/>
          <w:lang w:eastAsia="pl-PL"/>
        </w:rPr>
        <w:t xml:space="preserve">max </w:t>
      </w:r>
      <w:r w:rsidRPr="005E66D9">
        <w:rPr>
          <w:rFonts w:cs="Calibri"/>
          <w:sz w:val="24"/>
          <w:szCs w:val="24"/>
          <w:lang w:eastAsia="pl-PL"/>
        </w:rPr>
        <w:t xml:space="preserve">10 dni roboczych od daty zawarcia umowy. </w:t>
      </w:r>
    </w:p>
    <w:p w:rsidR="002E7F7F" w:rsidRPr="005E66D9" w:rsidRDefault="002E7F7F" w:rsidP="005E66D9">
      <w:pPr>
        <w:pStyle w:val="Akapitzlist"/>
        <w:spacing w:after="0"/>
        <w:ind w:left="0"/>
        <w:rPr>
          <w:rFonts w:cs="Calibri"/>
          <w:sz w:val="24"/>
          <w:szCs w:val="24"/>
          <w:lang w:eastAsia="pl-PL"/>
        </w:rPr>
      </w:pPr>
    </w:p>
    <w:p w:rsidR="0070519D" w:rsidRPr="005E66D9" w:rsidRDefault="0070519D" w:rsidP="005E66D9">
      <w:pPr>
        <w:overflowPunct w:val="0"/>
        <w:spacing w:after="0"/>
        <w:rPr>
          <w:rFonts w:cs="Calibri"/>
          <w:kern w:val="1"/>
          <w:sz w:val="24"/>
          <w:szCs w:val="24"/>
          <w:lang w:eastAsia="en-US" w:bidi="hi-IN"/>
        </w:rPr>
      </w:pPr>
    </w:p>
    <w:p w:rsidR="0058390B" w:rsidRPr="005E66D9" w:rsidRDefault="0058390B" w:rsidP="005E66D9">
      <w:pPr>
        <w:rPr>
          <w:rFonts w:cs="Calibri"/>
          <w:sz w:val="24"/>
          <w:szCs w:val="24"/>
        </w:rPr>
      </w:pPr>
    </w:p>
    <w:sectPr w:rsidR="0058390B" w:rsidRPr="005E66D9" w:rsidSect="007A35C2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31" w:rsidRDefault="00236031" w:rsidP="00236031">
      <w:pPr>
        <w:spacing w:after="0" w:line="240" w:lineRule="auto"/>
      </w:pPr>
      <w:r>
        <w:separator/>
      </w:r>
    </w:p>
  </w:endnote>
  <w:endnote w:type="continuationSeparator" w:id="0">
    <w:p w:rsidR="00236031" w:rsidRDefault="00236031" w:rsidP="0023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17527"/>
      <w:docPartObj>
        <w:docPartGallery w:val="Page Numbers (Bottom of Page)"/>
        <w:docPartUnique/>
      </w:docPartObj>
    </w:sdtPr>
    <w:sdtEndPr/>
    <w:sdtContent>
      <w:p w:rsidR="00236031" w:rsidRDefault="00236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DC">
          <w:rPr>
            <w:noProof/>
          </w:rPr>
          <w:t>2</w:t>
        </w:r>
        <w:r>
          <w:fldChar w:fldCharType="end"/>
        </w:r>
      </w:p>
    </w:sdtContent>
  </w:sdt>
  <w:p w:rsidR="00236031" w:rsidRDefault="002360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31626"/>
      <w:docPartObj>
        <w:docPartGallery w:val="Page Numbers (Bottom of Page)"/>
        <w:docPartUnique/>
      </w:docPartObj>
    </w:sdtPr>
    <w:sdtEndPr/>
    <w:sdtContent>
      <w:p w:rsidR="00236031" w:rsidRDefault="00236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DC">
          <w:rPr>
            <w:noProof/>
          </w:rPr>
          <w:t>1</w:t>
        </w:r>
        <w:r>
          <w:fldChar w:fldCharType="end"/>
        </w:r>
      </w:p>
    </w:sdtContent>
  </w:sdt>
  <w:p w:rsidR="00236031" w:rsidRDefault="00236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31" w:rsidRDefault="00236031" w:rsidP="00236031">
      <w:pPr>
        <w:spacing w:after="0" w:line="240" w:lineRule="auto"/>
      </w:pPr>
      <w:r>
        <w:separator/>
      </w:r>
    </w:p>
  </w:footnote>
  <w:footnote w:type="continuationSeparator" w:id="0">
    <w:p w:rsidR="00236031" w:rsidRDefault="00236031" w:rsidP="0023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125"/>
    <w:multiLevelType w:val="multilevel"/>
    <w:tmpl w:val="3F0E8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0" w:hanging="69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3C3996"/>
    <w:multiLevelType w:val="multilevel"/>
    <w:tmpl w:val="CBA06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792371"/>
    <w:multiLevelType w:val="multilevel"/>
    <w:tmpl w:val="B6763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BFF55E8"/>
    <w:multiLevelType w:val="hybridMultilevel"/>
    <w:tmpl w:val="234C8C26"/>
    <w:lvl w:ilvl="0" w:tplc="5D02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7E"/>
    <w:rsid w:val="000125E6"/>
    <w:rsid w:val="00103EF6"/>
    <w:rsid w:val="001C3E37"/>
    <w:rsid w:val="00236031"/>
    <w:rsid w:val="00263ACF"/>
    <w:rsid w:val="002E7F7F"/>
    <w:rsid w:val="00367A63"/>
    <w:rsid w:val="003824BE"/>
    <w:rsid w:val="003E67DB"/>
    <w:rsid w:val="0058390B"/>
    <w:rsid w:val="005E66D9"/>
    <w:rsid w:val="00686CCA"/>
    <w:rsid w:val="006E4284"/>
    <w:rsid w:val="0070519D"/>
    <w:rsid w:val="0071485D"/>
    <w:rsid w:val="007431D1"/>
    <w:rsid w:val="007A1648"/>
    <w:rsid w:val="009F2A7D"/>
    <w:rsid w:val="00B365DC"/>
    <w:rsid w:val="00B562F2"/>
    <w:rsid w:val="00BF7B1E"/>
    <w:rsid w:val="00CB3E69"/>
    <w:rsid w:val="00CE437E"/>
    <w:rsid w:val="00CF3248"/>
    <w:rsid w:val="00D804BB"/>
    <w:rsid w:val="00E32F71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19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EF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EF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3EF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EF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EF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EF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EF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EF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EF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3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3E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E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E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E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E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E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E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03EF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3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3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03EF6"/>
    <w:rPr>
      <w:b/>
      <w:bCs/>
    </w:rPr>
  </w:style>
  <w:style w:type="character" w:styleId="Uwydatnienie">
    <w:name w:val="Emphasis"/>
    <w:uiPriority w:val="20"/>
    <w:qFormat/>
    <w:rsid w:val="00103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03EF6"/>
  </w:style>
  <w:style w:type="paragraph" w:styleId="Akapitzlist">
    <w:name w:val="List Paragraph"/>
    <w:basedOn w:val="Normalny"/>
    <w:uiPriority w:val="34"/>
    <w:qFormat/>
    <w:rsid w:val="00103E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03EF6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03E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EF6"/>
    <w:rPr>
      <w:b/>
      <w:bCs/>
      <w:i/>
      <w:iCs/>
    </w:rPr>
  </w:style>
  <w:style w:type="character" w:styleId="Wyrnieniedelikatne">
    <w:name w:val="Subtle Emphasis"/>
    <w:uiPriority w:val="19"/>
    <w:qFormat/>
    <w:rsid w:val="00103EF6"/>
    <w:rPr>
      <w:i/>
      <w:iCs/>
    </w:rPr>
  </w:style>
  <w:style w:type="character" w:styleId="Wyrnienieintensywne">
    <w:name w:val="Intense Emphasis"/>
    <w:uiPriority w:val="21"/>
    <w:qFormat/>
    <w:rsid w:val="00103EF6"/>
    <w:rPr>
      <w:b/>
      <w:bCs/>
    </w:rPr>
  </w:style>
  <w:style w:type="character" w:styleId="Odwoaniedelikatne">
    <w:name w:val="Subtle Reference"/>
    <w:uiPriority w:val="31"/>
    <w:qFormat/>
    <w:rsid w:val="00103EF6"/>
    <w:rPr>
      <w:smallCaps/>
    </w:rPr>
  </w:style>
  <w:style w:type="character" w:styleId="Odwoanieintensywne">
    <w:name w:val="Intense Reference"/>
    <w:uiPriority w:val="32"/>
    <w:qFormat/>
    <w:rsid w:val="00103EF6"/>
    <w:rPr>
      <w:smallCaps/>
      <w:spacing w:val="5"/>
      <w:u w:val="single"/>
    </w:rPr>
  </w:style>
  <w:style w:type="character" w:styleId="Tytuksiki">
    <w:name w:val="Book Title"/>
    <w:uiPriority w:val="33"/>
    <w:qFormat/>
    <w:rsid w:val="00103E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EF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23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31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31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19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EF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EF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3EF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EF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EF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EF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EF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EF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EF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3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3E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E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E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E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E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E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E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03EF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3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3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03EF6"/>
    <w:rPr>
      <w:b/>
      <w:bCs/>
    </w:rPr>
  </w:style>
  <w:style w:type="character" w:styleId="Uwydatnienie">
    <w:name w:val="Emphasis"/>
    <w:uiPriority w:val="20"/>
    <w:qFormat/>
    <w:rsid w:val="00103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03EF6"/>
  </w:style>
  <w:style w:type="paragraph" w:styleId="Akapitzlist">
    <w:name w:val="List Paragraph"/>
    <w:basedOn w:val="Normalny"/>
    <w:uiPriority w:val="34"/>
    <w:qFormat/>
    <w:rsid w:val="00103E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03EF6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03E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EF6"/>
    <w:rPr>
      <w:b/>
      <w:bCs/>
      <w:i/>
      <w:iCs/>
    </w:rPr>
  </w:style>
  <w:style w:type="character" w:styleId="Wyrnieniedelikatne">
    <w:name w:val="Subtle Emphasis"/>
    <w:uiPriority w:val="19"/>
    <w:qFormat/>
    <w:rsid w:val="00103EF6"/>
    <w:rPr>
      <w:i/>
      <w:iCs/>
    </w:rPr>
  </w:style>
  <w:style w:type="character" w:styleId="Wyrnienieintensywne">
    <w:name w:val="Intense Emphasis"/>
    <w:uiPriority w:val="21"/>
    <w:qFormat/>
    <w:rsid w:val="00103EF6"/>
    <w:rPr>
      <w:b/>
      <w:bCs/>
    </w:rPr>
  </w:style>
  <w:style w:type="character" w:styleId="Odwoaniedelikatne">
    <w:name w:val="Subtle Reference"/>
    <w:uiPriority w:val="31"/>
    <w:qFormat/>
    <w:rsid w:val="00103EF6"/>
    <w:rPr>
      <w:smallCaps/>
    </w:rPr>
  </w:style>
  <w:style w:type="character" w:styleId="Odwoanieintensywne">
    <w:name w:val="Intense Reference"/>
    <w:uiPriority w:val="32"/>
    <w:qFormat/>
    <w:rsid w:val="00103EF6"/>
    <w:rPr>
      <w:smallCaps/>
      <w:spacing w:val="5"/>
      <w:u w:val="single"/>
    </w:rPr>
  </w:style>
  <w:style w:type="character" w:styleId="Tytuksiki">
    <w:name w:val="Book Title"/>
    <w:uiPriority w:val="33"/>
    <w:qFormat/>
    <w:rsid w:val="00103E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EF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23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31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31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C382-108D-44EA-A13F-63402D07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Jolanta Dziura</cp:lastModifiedBy>
  <cp:revision>24</cp:revision>
  <cp:lastPrinted>2025-04-14T09:29:00Z</cp:lastPrinted>
  <dcterms:created xsi:type="dcterms:W3CDTF">2025-03-19T12:09:00Z</dcterms:created>
  <dcterms:modified xsi:type="dcterms:W3CDTF">2025-05-05T11:39:00Z</dcterms:modified>
</cp:coreProperties>
</file>