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2E861152" w:rsidR="00CF2F70" w:rsidRDefault="00084480" w:rsidP="0003635F">
            <w:pPr>
              <w:ind w:firstLine="0"/>
            </w:pPr>
            <w:r>
              <w:t>35</w:t>
            </w:r>
            <w:r w:rsidR="00CF2F70">
              <w:t>/</w:t>
            </w:r>
            <w:r>
              <w:t>5</w:t>
            </w:r>
            <w:r w:rsidR="00CF2F70">
              <w:t>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7608D653" w:rsidR="00CF2F70" w:rsidRDefault="000A4C87"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w:t>
      </w:r>
      <w:proofErr w:type="spellStart"/>
      <w:r w:rsidRPr="00555817">
        <w:t>sczepności</w:t>
      </w:r>
      <w:proofErr w:type="spellEnd"/>
      <w:r w:rsidRPr="00555817">
        <w:t xml:space="preserve">.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 xml:space="preserve">W przypadku badania </w:t>
      </w:r>
      <w:proofErr w:type="spellStart"/>
      <w:r w:rsidRPr="006E1A26">
        <w:rPr>
          <w:rFonts w:cs="Calibri"/>
        </w:rPr>
        <w:t>sczepności</w:t>
      </w:r>
      <w:proofErr w:type="spellEnd"/>
      <w:r w:rsidRPr="006E1A26">
        <w:rPr>
          <w:rFonts w:cs="Calibri"/>
        </w:rPr>
        <w:t xml:space="preserve">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w:t>
      </w:r>
      <w:proofErr w:type="spellStart"/>
      <w:r w:rsidR="00525B94" w:rsidRPr="00BD6D7B">
        <w:rPr>
          <w:rFonts w:cs="Calibri"/>
        </w:rPr>
        <w:t>sczepności</w:t>
      </w:r>
      <w:proofErr w:type="spellEnd"/>
      <w:r w:rsidR="00525B94" w:rsidRPr="00BD6D7B">
        <w:rPr>
          <w:rFonts w:cs="Calibri"/>
        </w:rPr>
        <w:t xml:space="preserve">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9C4830">
      <w:headerReference w:type="default" r:id="rId10"/>
      <w:footerReference w:type="even" r:id="rId11"/>
      <w:footerReference w:type="default" r:id="rId12"/>
      <w:pgSz w:w="11907" w:h="16840" w:code="9"/>
      <w:pgMar w:top="1134" w:right="992" w:bottom="1134" w:left="1247" w:header="709" w:footer="904" w:gutter="0"/>
      <w:pgNumType w:start="118"/>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1A5E3" w14:textId="77777777" w:rsidR="00304CBF" w:rsidRDefault="00304CBF">
      <w:r>
        <w:separator/>
      </w:r>
    </w:p>
  </w:endnote>
  <w:endnote w:type="continuationSeparator" w:id="0">
    <w:p w14:paraId="13FDB640" w14:textId="77777777" w:rsidR="00304CBF" w:rsidRDefault="00304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0AE7D" w14:textId="77777777" w:rsidR="00304CBF" w:rsidRDefault="00304CBF">
      <w:r>
        <w:separator/>
      </w:r>
    </w:p>
  </w:footnote>
  <w:footnote w:type="continuationSeparator" w:id="0">
    <w:p w14:paraId="7F054E63" w14:textId="77777777" w:rsidR="00304CBF" w:rsidRDefault="00304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17724"/>
    <w:rsid w:val="00026A79"/>
    <w:rsid w:val="00031624"/>
    <w:rsid w:val="00033ECA"/>
    <w:rsid w:val="0003635F"/>
    <w:rsid w:val="000375F0"/>
    <w:rsid w:val="0004161E"/>
    <w:rsid w:val="0004236D"/>
    <w:rsid w:val="00042B03"/>
    <w:rsid w:val="00043C60"/>
    <w:rsid w:val="000536CC"/>
    <w:rsid w:val="0005370B"/>
    <w:rsid w:val="00056DF9"/>
    <w:rsid w:val="00056F14"/>
    <w:rsid w:val="00065615"/>
    <w:rsid w:val="00075063"/>
    <w:rsid w:val="00084480"/>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04CBF"/>
    <w:rsid w:val="00314745"/>
    <w:rsid w:val="003410F6"/>
    <w:rsid w:val="00350410"/>
    <w:rsid w:val="00352EC3"/>
    <w:rsid w:val="0035710D"/>
    <w:rsid w:val="003703EF"/>
    <w:rsid w:val="00372C76"/>
    <w:rsid w:val="00387780"/>
    <w:rsid w:val="003925BB"/>
    <w:rsid w:val="003975F3"/>
    <w:rsid w:val="003A20E3"/>
    <w:rsid w:val="003A7CB7"/>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21DB"/>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C60FC"/>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D52D5"/>
    <w:rsid w:val="006E0FD0"/>
    <w:rsid w:val="006E1A26"/>
    <w:rsid w:val="006E2B8F"/>
    <w:rsid w:val="006E3240"/>
    <w:rsid w:val="006E4CD4"/>
    <w:rsid w:val="006F12C6"/>
    <w:rsid w:val="006F415E"/>
    <w:rsid w:val="00706488"/>
    <w:rsid w:val="0071240B"/>
    <w:rsid w:val="007154EF"/>
    <w:rsid w:val="00721847"/>
    <w:rsid w:val="00731384"/>
    <w:rsid w:val="00740A10"/>
    <w:rsid w:val="00750495"/>
    <w:rsid w:val="007560D8"/>
    <w:rsid w:val="007568FD"/>
    <w:rsid w:val="00762672"/>
    <w:rsid w:val="007629AD"/>
    <w:rsid w:val="00776CAB"/>
    <w:rsid w:val="00777DEA"/>
    <w:rsid w:val="00783FB5"/>
    <w:rsid w:val="007848DE"/>
    <w:rsid w:val="0079209B"/>
    <w:rsid w:val="00792D1B"/>
    <w:rsid w:val="007A56B7"/>
    <w:rsid w:val="007A5BE5"/>
    <w:rsid w:val="007C221A"/>
    <w:rsid w:val="007C2F1E"/>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4830"/>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B482E"/>
    <w:rsid w:val="00DC157F"/>
    <w:rsid w:val="00DC3298"/>
    <w:rsid w:val="00DC55BB"/>
    <w:rsid w:val="00DD69B4"/>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 w:val="00FF34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15</Pages>
  <Words>8247</Words>
  <Characters>49485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9</cp:revision>
  <cp:lastPrinted>2013-04-12T07:52:00Z</cp:lastPrinted>
  <dcterms:created xsi:type="dcterms:W3CDTF">2025-01-21T11:42:00Z</dcterms:created>
  <dcterms:modified xsi:type="dcterms:W3CDTF">2025-04-24T08:05:00Z</dcterms:modified>
</cp:coreProperties>
</file>