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74274A">
        <w:rPr>
          <w:rFonts w:ascii="Times New Roman" w:eastAsia="Times New Roman" w:hAnsi="Times New Roman" w:cs="Times New Roman"/>
          <w:sz w:val="24"/>
        </w:rPr>
        <w:t>4</w:t>
      </w:r>
      <w:bookmarkStart w:id="0" w:name="_GoBack"/>
      <w:bookmarkEnd w:id="0"/>
      <w:r w:rsidR="00AD46DD">
        <w:rPr>
          <w:rFonts w:ascii="Times New Roman" w:eastAsia="Times New Roman" w:hAnsi="Times New Roman" w:cs="Times New Roman"/>
          <w:sz w:val="24"/>
        </w:rPr>
        <w:t xml:space="preserve"> </w:t>
      </w:r>
      <w:r w:rsidR="00A32AE5">
        <w:rPr>
          <w:rFonts w:ascii="Times New Roman" w:eastAsia="Times New Roman" w:hAnsi="Times New Roman" w:cs="Times New Roman"/>
          <w:sz w:val="24"/>
        </w:rPr>
        <w:t>dni roboczych</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E12B5"/>
    <w:rsid w:val="009E6139"/>
    <w:rsid w:val="00A32AE5"/>
    <w:rsid w:val="00A40668"/>
    <w:rsid w:val="00AD41D6"/>
    <w:rsid w:val="00AD46DD"/>
    <w:rsid w:val="00B2755F"/>
    <w:rsid w:val="00B77AEF"/>
    <w:rsid w:val="00B81EA7"/>
    <w:rsid w:val="00BA0F67"/>
    <w:rsid w:val="00BA25C0"/>
    <w:rsid w:val="00C06870"/>
    <w:rsid w:val="00C10934"/>
    <w:rsid w:val="00C7624C"/>
    <w:rsid w:val="00C9648F"/>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E0BD"/>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132</cp:revision>
  <dcterms:created xsi:type="dcterms:W3CDTF">2024-04-08T10:36:00Z</dcterms:created>
  <dcterms:modified xsi:type="dcterms:W3CDTF">2025-05-06T10:35:00Z</dcterms:modified>
</cp:coreProperties>
</file>