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wykonanie zadania „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Legionowie”</w:t>
      </w:r>
      <w:r>
        <w:rPr>
          <w:rStyle w:val="Domylnaczcionkaakapitu"/>
          <w:rFonts w:eastAsia="TimesNewRomanPSMT" w:cs="TimesNewRomanPSMT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na wbudowane urządzenia,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nawierzchnie i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60 dni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wprowadzenia wykonawcy na budowę.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Protokolarne wprowadzenie Wykonawcy na budowę nastąpi nie później niż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0 dni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dnia podpisania umowy. 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19 lipca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701</Words>
  <Characters>4629</Characters>
  <CharactersWithSpaces>5276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2024-06-04T10:48:11Z</dcterms:modified>
  <cp:revision>2</cp:revision>
  <dc:subject/>
  <dc:title>Formularz oferty</dc:title>
</cp:coreProperties>
</file>