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9A05" w14:textId="77777777" w:rsidR="00013C65" w:rsidRPr="00043DA7" w:rsidRDefault="00013C65" w:rsidP="00013C65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3CE48151" w14:textId="77777777" w:rsidR="00013C65" w:rsidRPr="002E17FB" w:rsidRDefault="00013C65" w:rsidP="00013C65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2541CF8D" w14:textId="77777777" w:rsidR="00013C65" w:rsidRPr="00AB72CB" w:rsidRDefault="00013C65" w:rsidP="00013C65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68C426DE" w14:textId="77777777" w:rsidR="00013C65" w:rsidRPr="00AB72CB" w:rsidRDefault="00013C65" w:rsidP="00013C65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4813F9E6" w14:textId="77777777" w:rsidR="00013C65" w:rsidRPr="00AB72CB" w:rsidRDefault="00013C65" w:rsidP="00013C65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4166D1EF" w14:textId="77777777" w:rsidR="00013C65" w:rsidRPr="00AB72CB" w:rsidRDefault="00013C65" w:rsidP="00013C65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20908E73" w14:textId="77777777" w:rsidR="00013C65" w:rsidRPr="00043DA7" w:rsidRDefault="00013C65" w:rsidP="00013C65">
      <w:pPr>
        <w:shd w:val="clear" w:color="auto" w:fill="FFFFFF"/>
        <w:rPr>
          <w:b/>
          <w:caps/>
          <w:sz w:val="22"/>
          <w:szCs w:val="22"/>
        </w:rPr>
      </w:pPr>
    </w:p>
    <w:p w14:paraId="64B59656" w14:textId="77777777" w:rsidR="00013C65" w:rsidRPr="00043DA7" w:rsidRDefault="00013C65" w:rsidP="00013C65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255542CD" w14:textId="77777777" w:rsidR="00013C65" w:rsidRPr="00043DA7" w:rsidRDefault="00013C65" w:rsidP="00013C65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52F078FB" w14:textId="77777777" w:rsidR="00013C65" w:rsidRPr="00683AD4" w:rsidRDefault="00013C65" w:rsidP="00013C65">
      <w:pPr>
        <w:shd w:val="clear" w:color="auto" w:fill="FFFFFF"/>
        <w:rPr>
          <w:b/>
          <w:caps/>
          <w:sz w:val="12"/>
          <w:szCs w:val="12"/>
        </w:rPr>
      </w:pPr>
    </w:p>
    <w:p w14:paraId="6E5E0C19" w14:textId="77777777" w:rsidR="00013C65" w:rsidRPr="00DB7BB0" w:rsidRDefault="00013C65" w:rsidP="00013C65">
      <w:pPr>
        <w:spacing w:after="120"/>
        <w:jc w:val="both"/>
        <w:rPr>
          <w:sz w:val="20"/>
          <w:szCs w:val="20"/>
        </w:rPr>
      </w:pPr>
      <w:r w:rsidRPr="00DB7BB0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DB7BB0">
        <w:rPr>
          <w:b/>
          <w:iCs/>
          <w:sz w:val="20"/>
          <w:szCs w:val="20"/>
        </w:rPr>
        <w:t>Dostawa wraz z montażem i uruchomieniem symulatora trzech mostków nawigacyjnych statków dla Politechniki Morskiej w Szczecinie</w:t>
      </w:r>
      <w:r w:rsidRPr="00DB7BB0">
        <w:rPr>
          <w:rFonts w:cs="Arial"/>
          <w:b/>
          <w:sz w:val="20"/>
          <w:szCs w:val="20"/>
        </w:rPr>
        <w:t xml:space="preserve">, </w:t>
      </w:r>
      <w:r w:rsidRPr="00DB7BB0">
        <w:rPr>
          <w:rFonts w:eastAsia="Calibri"/>
          <w:sz w:val="20"/>
          <w:szCs w:val="20"/>
          <w:lang w:eastAsia="en-US"/>
        </w:rPr>
        <w:t xml:space="preserve">prowadzonego przez </w:t>
      </w:r>
      <w:r w:rsidRPr="00DB7BB0">
        <w:rPr>
          <w:sz w:val="20"/>
          <w:szCs w:val="20"/>
        </w:rPr>
        <w:t>Politechnikę Morską w Szczecinie</w:t>
      </w:r>
      <w:r w:rsidRPr="00DB7BB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DB7BB0">
        <w:rPr>
          <w:sz w:val="20"/>
          <w:szCs w:val="20"/>
          <w:u w:val="single"/>
        </w:rPr>
        <w:t>oświadczam</w:t>
      </w:r>
      <w:r w:rsidRPr="00DB7BB0">
        <w:rPr>
          <w:sz w:val="20"/>
          <w:szCs w:val="20"/>
        </w:rPr>
        <w:t>, że:</w:t>
      </w:r>
    </w:p>
    <w:p w14:paraId="29030FE6" w14:textId="77777777" w:rsidR="00013C65" w:rsidRPr="00683AD4" w:rsidRDefault="00013C65" w:rsidP="00013C65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7585A4EC" w14:textId="77777777" w:rsidR="00013C65" w:rsidRPr="00683AD4" w:rsidRDefault="00013C65" w:rsidP="00013C65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2314DEAF" w14:textId="77777777" w:rsidR="00013C65" w:rsidRPr="00683AD4" w:rsidRDefault="00013C65" w:rsidP="00013C65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AF973E" w14:textId="77777777" w:rsidR="00013C65" w:rsidRPr="00683AD4" w:rsidRDefault="00013C65" w:rsidP="00013C65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554A2427" w14:textId="77777777" w:rsidR="00013C65" w:rsidRPr="00683AD4" w:rsidRDefault="00013C65" w:rsidP="00013C65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1859C51C" w14:textId="77777777" w:rsidR="00013C65" w:rsidRPr="00683AD4" w:rsidRDefault="00013C65" w:rsidP="00013C65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46EB8DF3" w14:textId="77777777" w:rsidR="00013C65" w:rsidRPr="00683AD4" w:rsidRDefault="00013C65" w:rsidP="00013C65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55B187C1" w14:textId="77777777" w:rsidR="00013C65" w:rsidRPr="00683AD4" w:rsidRDefault="00013C65" w:rsidP="00013C65">
      <w:pPr>
        <w:ind w:left="720"/>
        <w:rPr>
          <w:bCs/>
          <w:sz w:val="20"/>
          <w:szCs w:val="20"/>
          <w:lang w:eastAsia="en-US"/>
        </w:rPr>
      </w:pPr>
    </w:p>
    <w:p w14:paraId="16B1E735" w14:textId="77777777" w:rsidR="00013C65" w:rsidRPr="00AB72CB" w:rsidRDefault="00013C65" w:rsidP="00013C65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41FFABE7" w14:textId="77777777" w:rsidR="00013C65" w:rsidRPr="00AB72CB" w:rsidRDefault="00013C65" w:rsidP="00013C65">
      <w:pPr>
        <w:rPr>
          <w:sz w:val="20"/>
          <w:szCs w:val="20"/>
        </w:rPr>
      </w:pPr>
    </w:p>
    <w:p w14:paraId="087299FC" w14:textId="77777777" w:rsidR="00013C65" w:rsidRDefault="00013C65" w:rsidP="00013C6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2F89FC97" w14:textId="77777777" w:rsidR="00013C65" w:rsidRPr="00043DA7" w:rsidRDefault="00013C65" w:rsidP="00013C65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5BABEE7E" w14:textId="77777777" w:rsidR="00013C65" w:rsidRPr="00043DA7" w:rsidRDefault="00013C65" w:rsidP="00013C65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karnego:</w:t>
      </w:r>
    </w:p>
    <w:p w14:paraId="6DE9361B" w14:textId="77777777" w:rsidR="00013C65" w:rsidRPr="00F33B5C" w:rsidRDefault="00013C65" w:rsidP="00013C65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26CD9DF3" w14:textId="77777777" w:rsidR="00013C65" w:rsidRDefault="00013C65" w:rsidP="00013C65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39313BBC" w14:textId="77777777" w:rsidR="00013C65" w:rsidRDefault="00013C65" w:rsidP="00013C65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30CD6793" w14:textId="77777777" w:rsidR="00013C65" w:rsidRDefault="00013C65" w:rsidP="00013C65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530B48CB" w14:textId="77777777" w:rsidR="00013C65" w:rsidRDefault="00013C65" w:rsidP="00013C65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72F47E24" w14:textId="77777777" w:rsidR="00013C65" w:rsidRDefault="00013C65" w:rsidP="00013C65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28982896" w14:textId="77777777" w:rsidR="00013C65" w:rsidRDefault="00013C65" w:rsidP="00013C65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05F1BE4C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65"/>
    <w:rsid w:val="00013C65"/>
    <w:rsid w:val="00025C89"/>
    <w:rsid w:val="003D758A"/>
    <w:rsid w:val="00925949"/>
    <w:rsid w:val="00B36961"/>
    <w:rsid w:val="00B5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60D9"/>
  <w15:chartTrackingRefBased/>
  <w15:docId w15:val="{B938A9FF-180A-4B7F-AE30-B64E7F0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65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3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3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3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3C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3C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3C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3C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3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3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3C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3C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3C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3C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3C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3C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3C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3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3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3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3C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3C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3C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3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3C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3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2025-03-28T10:09:00Z</dcterms:created>
  <dcterms:modified xsi:type="dcterms:W3CDTF">2025-03-28T10:09:00Z</dcterms:modified>
</cp:coreProperties>
</file>